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02" w:rsidRDefault="00C91002" w:rsidP="002B6161">
      <w:pPr>
        <w:pStyle w:val="Cmsor1"/>
        <w:rPr>
          <w:b/>
          <w:color w:val="000000"/>
          <w:szCs w:val="24"/>
        </w:rPr>
      </w:pPr>
    </w:p>
    <w:p w:rsidR="002B6161" w:rsidRDefault="002B6161" w:rsidP="002B6161">
      <w:pPr>
        <w:pStyle w:val="Cmsor1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ELŐTERJESZTÉS</w:t>
      </w:r>
    </w:p>
    <w:p w:rsidR="002B6161" w:rsidRDefault="002B6161" w:rsidP="002B6161">
      <w:pPr>
        <w:rPr>
          <w:sz w:val="24"/>
          <w:szCs w:val="24"/>
        </w:rPr>
      </w:pPr>
    </w:p>
    <w:p w:rsidR="002B6161" w:rsidRDefault="00476324" w:rsidP="00476324">
      <w:pPr>
        <w:jc w:val="center"/>
        <w:rPr>
          <w:sz w:val="24"/>
          <w:szCs w:val="24"/>
        </w:rPr>
      </w:pPr>
      <w:r>
        <w:rPr>
          <w:sz w:val="24"/>
          <w:szCs w:val="24"/>
        </w:rPr>
        <w:t>Az Önkormányzat 2</w:t>
      </w:r>
      <w:r w:rsidR="002B6161">
        <w:rPr>
          <w:sz w:val="24"/>
          <w:szCs w:val="24"/>
        </w:rPr>
        <w:t>0</w:t>
      </w:r>
      <w:r w:rsidR="00167541">
        <w:rPr>
          <w:sz w:val="24"/>
          <w:szCs w:val="24"/>
        </w:rPr>
        <w:t xml:space="preserve">20. évi költségvetés végrehajtásáról </w:t>
      </w:r>
      <w:r w:rsidR="002B6161">
        <w:rPr>
          <w:sz w:val="24"/>
          <w:szCs w:val="24"/>
        </w:rPr>
        <w:t>beszámoló</w:t>
      </w:r>
    </w:p>
    <w:p w:rsidR="002B6161" w:rsidRDefault="002B6161" w:rsidP="002B6161">
      <w:pPr>
        <w:rPr>
          <w:sz w:val="24"/>
          <w:szCs w:val="24"/>
        </w:rPr>
      </w:pPr>
    </w:p>
    <w:p w:rsidR="002B6161" w:rsidRDefault="002B6161" w:rsidP="002B6161">
      <w:pPr>
        <w:pStyle w:val="Cmsor1"/>
        <w:jc w:val="both"/>
        <w:rPr>
          <w:b/>
          <w:color w:val="000000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Bezenye Községi Önkormányzat Képviselő-testülete az Önkormányzat 2020. évi költségvetését az 1/2020. (III.4.) önkormányzati rendelettel fogadta el. </w:t>
      </w:r>
    </w:p>
    <w:p w:rsidR="002B6161" w:rsidRDefault="002B6161" w:rsidP="002B6161">
      <w:pPr>
        <w:rPr>
          <w:sz w:val="24"/>
          <w:szCs w:val="24"/>
        </w:rPr>
      </w:pPr>
    </w:p>
    <w:p w:rsidR="002B6161" w:rsidRDefault="002B6161" w:rsidP="002B616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Az önkormányzatok gazdálkodását több, Kormány által meghozott döntés befolyásolta. Ezek közül a</w:t>
      </w:r>
      <w:r>
        <w:rPr>
          <w:rFonts w:eastAsiaTheme="minorHAnsi"/>
          <w:sz w:val="24"/>
          <w:szCs w:val="24"/>
          <w:lang w:eastAsia="en-US"/>
        </w:rPr>
        <w:t>z élet- és vagyonbiztonságot veszélyeztető tömeges megbetegedést okozó humánjárvány következményeinek elhárítása, a magyar állampolgárok egészségének és életének megóvása érdekében Magyarország egész területére v</w:t>
      </w:r>
      <w:r w:rsidR="00ED1E4D">
        <w:rPr>
          <w:rFonts w:eastAsiaTheme="minorHAnsi"/>
          <w:sz w:val="24"/>
          <w:szCs w:val="24"/>
          <w:lang w:eastAsia="en-US"/>
        </w:rPr>
        <w:t xml:space="preserve">eszélyhelyzetet hirdetett ki a </w:t>
      </w:r>
      <w:r>
        <w:rPr>
          <w:rFonts w:eastAsiaTheme="minorHAnsi"/>
          <w:sz w:val="24"/>
          <w:szCs w:val="24"/>
          <w:lang w:eastAsia="en-US"/>
        </w:rPr>
        <w:t>Kormány 40/2020. (III.11.) Korm. rendeletével.</w:t>
      </w:r>
    </w:p>
    <w:p w:rsidR="0054777D" w:rsidRDefault="002B6161" w:rsidP="0054777D">
      <w:pPr>
        <w:jc w:val="both"/>
        <w:rPr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Ezt követően rendszeresen születettek olyan központi intézkedések, illetve a veszélyhelyzet miatt kialakult külső tényezők okán létjött olyan belső intézkedések, melyek</w:t>
      </w:r>
      <w:r w:rsidR="0054777D">
        <w:rPr>
          <w:rFonts w:eastAsiaTheme="minorHAnsi"/>
          <w:sz w:val="24"/>
          <w:szCs w:val="24"/>
          <w:lang w:eastAsia="en-US"/>
        </w:rPr>
        <w:t xml:space="preserve"> az Önkormányzat költségvetését, pl. a </w:t>
      </w:r>
      <w:r w:rsidR="0054777D">
        <w:rPr>
          <w:bCs/>
          <w:sz w:val="24"/>
          <w:szCs w:val="24"/>
        </w:rPr>
        <w:t xml:space="preserve">helyben maradó gépjárműadó elvonása.  </w:t>
      </w:r>
      <w:r w:rsidR="0054777D">
        <w:rPr>
          <w:sz w:val="24"/>
          <w:szCs w:val="24"/>
        </w:rPr>
        <w:t>A kormányrendelet alapján a teljes 2020. évi gépjárműadó a központi költségvetést illeti, így ebből bevétellel az Önkormányzat nem számolhat</w:t>
      </w: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 2020. évi költségvetésben gépjárműadó bevétel tervezett összege 6.339.00 Ft volt. Befolyt gépjárműadó június 30-ig 5.011.698 Ft volt, melyet teljes egészében a központi költségvetésbe átutalásra került.</w:t>
      </w:r>
    </w:p>
    <w:p w:rsidR="002B6161" w:rsidRDefault="002B6161" w:rsidP="002B6161">
      <w:pPr>
        <w:jc w:val="both"/>
        <w:rPr>
          <w:b/>
          <w:bCs/>
          <w:sz w:val="24"/>
          <w:szCs w:val="24"/>
        </w:rPr>
      </w:pPr>
    </w:p>
    <w:p w:rsidR="002B6161" w:rsidRDefault="002B6161" w:rsidP="002B616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előterjesztés készítéséhez kapcsolódóan kiemelt központi döntések a következők:</w:t>
      </w:r>
    </w:p>
    <w:p w:rsidR="002B6161" w:rsidRDefault="002B6161" w:rsidP="002B6161">
      <w:pPr>
        <w:pStyle w:val="Listaszerbekezds"/>
        <w:numPr>
          <w:ilvl w:val="0"/>
          <w:numId w:val="1"/>
        </w:numPr>
        <w:ind w:left="0" w:firstLine="0"/>
        <w:jc w:val="both"/>
        <w:rPr>
          <w:b/>
          <w:i/>
        </w:rPr>
      </w:pPr>
      <w:r>
        <w:rPr>
          <w:i/>
        </w:rPr>
        <w:t xml:space="preserve">a 275/2020. (VI.12.) Korm. rendelet alapján a védőnői szolgálatban jogviszonyban lévő közalkalmazottak is részesülnek az egyszeri bruttó 500e Ft/fő rendkívüli juttatásban. </w:t>
      </w:r>
    </w:p>
    <w:p w:rsidR="002B6161" w:rsidRPr="0054777D" w:rsidRDefault="002B6161" w:rsidP="0054777D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A juttatás összegét és annak járulé</w:t>
      </w:r>
      <w:r w:rsidR="0054777D">
        <w:rPr>
          <w:rFonts w:cstheme="minorHAnsi"/>
          <w:bCs/>
          <w:i/>
          <w:sz w:val="24"/>
          <w:szCs w:val="24"/>
        </w:rPr>
        <w:t>k terhét az állam kifinanszírozt</w:t>
      </w:r>
      <w:r>
        <w:rPr>
          <w:rFonts w:cstheme="minorHAnsi"/>
          <w:bCs/>
          <w:i/>
          <w:sz w:val="24"/>
          <w:szCs w:val="24"/>
        </w:rPr>
        <w:t xml:space="preserve">a a </w:t>
      </w:r>
      <w:proofErr w:type="spellStart"/>
      <w:r>
        <w:rPr>
          <w:rFonts w:cstheme="minorHAnsi"/>
          <w:bCs/>
          <w:i/>
          <w:sz w:val="24"/>
          <w:szCs w:val="24"/>
        </w:rPr>
        <w:t>NEAK-on</w:t>
      </w:r>
      <w:proofErr w:type="spellEnd"/>
      <w:r>
        <w:rPr>
          <w:rFonts w:cstheme="minorHAnsi"/>
          <w:bCs/>
          <w:i/>
          <w:sz w:val="24"/>
          <w:szCs w:val="24"/>
        </w:rPr>
        <w:t xml:space="preserve"> keresztül 2020. június 19-i adatszolgáltatás alapján, 2020. június 26-ig.</w:t>
      </w:r>
      <w:r w:rsidR="0054777D" w:rsidRPr="0054777D">
        <w:rPr>
          <w:rFonts w:cstheme="minorHAnsi"/>
          <w:bCs/>
          <w:sz w:val="24"/>
          <w:szCs w:val="24"/>
        </w:rPr>
        <w:t xml:space="preserve"> </w:t>
      </w:r>
      <w:r w:rsidR="0054777D">
        <w:rPr>
          <w:rFonts w:cstheme="minorHAnsi"/>
          <w:bCs/>
          <w:sz w:val="24"/>
          <w:szCs w:val="24"/>
        </w:rPr>
        <w:t xml:space="preserve">Fenitek alapján 1 főre mindösszesen 500.000 Ft személyi juttatás és járulék költség, összesen 587.500  Ft bevétel került pluszban megtervezésre a védőnői szolgálat </w:t>
      </w:r>
      <w:proofErr w:type="gramStart"/>
      <w:r w:rsidR="0054777D">
        <w:rPr>
          <w:rFonts w:cstheme="minorHAnsi"/>
          <w:bCs/>
          <w:sz w:val="24"/>
          <w:szCs w:val="24"/>
        </w:rPr>
        <w:t>szakfeladaton</w:t>
      </w:r>
      <w:proofErr w:type="gramEnd"/>
      <w:r w:rsidR="0054777D">
        <w:rPr>
          <w:rFonts w:cstheme="minorHAnsi"/>
          <w:bCs/>
          <w:sz w:val="24"/>
          <w:szCs w:val="24"/>
        </w:rPr>
        <w:t xml:space="preserve"> mint kiadás, és mint </w:t>
      </w:r>
      <w:proofErr w:type="spellStart"/>
      <w:r w:rsidR="0054777D">
        <w:rPr>
          <w:rFonts w:cstheme="minorHAnsi"/>
          <w:bCs/>
          <w:sz w:val="24"/>
          <w:szCs w:val="24"/>
        </w:rPr>
        <w:t>NEAK-tól</w:t>
      </w:r>
      <w:proofErr w:type="spellEnd"/>
      <w:r w:rsidR="0054777D">
        <w:rPr>
          <w:rFonts w:cstheme="minorHAnsi"/>
          <w:bCs/>
          <w:sz w:val="24"/>
          <w:szCs w:val="24"/>
        </w:rPr>
        <w:t xml:space="preserve"> származó bevétel.</w:t>
      </w:r>
    </w:p>
    <w:p w:rsidR="002B6161" w:rsidRDefault="002B6161" w:rsidP="0054777D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Az egyszeri rendkívüli juttatást 2020. július 1-jén kellett kifizeti a védőnő részére. </w:t>
      </w:r>
    </w:p>
    <w:p w:rsidR="002B6161" w:rsidRDefault="002B6161" w:rsidP="002B6161">
      <w:p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támogatás elszámolási kötelezettséggel terhelt, 2020. szeptember 30-ig kell</w:t>
      </w:r>
      <w:r w:rsidR="0054777D">
        <w:rPr>
          <w:rFonts w:cstheme="minorHAnsi"/>
          <w:bCs/>
          <w:sz w:val="24"/>
          <w:szCs w:val="24"/>
        </w:rPr>
        <w:t>ett</w:t>
      </w:r>
      <w:r>
        <w:rPr>
          <w:rFonts w:cstheme="minorHAnsi"/>
          <w:bCs/>
          <w:sz w:val="24"/>
          <w:szCs w:val="24"/>
        </w:rPr>
        <w:t xml:space="preserve"> elszámolni, illetve három évig </w:t>
      </w:r>
      <w:proofErr w:type="spellStart"/>
      <w:r>
        <w:rPr>
          <w:rFonts w:cstheme="minorHAnsi"/>
          <w:bCs/>
          <w:sz w:val="24"/>
          <w:szCs w:val="24"/>
        </w:rPr>
        <w:t>utóellenőrizhető</w:t>
      </w:r>
      <w:proofErr w:type="spellEnd"/>
      <w:r>
        <w:rPr>
          <w:rFonts w:cstheme="minorHAnsi"/>
          <w:bCs/>
          <w:sz w:val="24"/>
          <w:szCs w:val="24"/>
        </w:rPr>
        <w:t xml:space="preserve"> a Belügyminisztérium által.</w:t>
      </w:r>
    </w:p>
    <w:p w:rsidR="002B6161" w:rsidRDefault="002B6161" w:rsidP="002B6161">
      <w:pPr>
        <w:jc w:val="both"/>
        <w:rPr>
          <w:bCs/>
          <w:sz w:val="24"/>
          <w:szCs w:val="24"/>
        </w:rPr>
      </w:pPr>
    </w:p>
    <w:p w:rsidR="002B6161" w:rsidRDefault="002B6161" w:rsidP="002B6161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A 140/2020. (IV.21.) Korm. rendelet </w:t>
      </w:r>
      <w:r>
        <w:rPr>
          <w:rFonts w:eastAsiaTheme="minorHAnsi"/>
          <w:b/>
          <w:bCs/>
          <w:sz w:val="24"/>
          <w:szCs w:val="24"/>
          <w:lang w:eastAsia="en-US"/>
        </w:rPr>
        <w:t>a Gazdaságvédelmi Akcióterv</w:t>
      </w:r>
      <w:r>
        <w:rPr>
          <w:rFonts w:eastAsiaTheme="minorHAnsi"/>
          <w:bCs/>
          <w:sz w:val="24"/>
          <w:szCs w:val="24"/>
          <w:lang w:eastAsia="en-US"/>
        </w:rPr>
        <w:t xml:space="preserve"> keretében a koronavírus-járvány gazdasági hatásainak mérséklése érdekében szükséges adózási könnyítésekről szóló </w:t>
      </w:r>
      <w:r w:rsidR="0054777D">
        <w:rPr>
          <w:rFonts w:eastAsiaTheme="minorHAnsi"/>
          <w:bCs/>
          <w:i/>
          <w:sz w:val="24"/>
          <w:szCs w:val="24"/>
          <w:lang w:eastAsia="en-US"/>
        </w:rPr>
        <w:t>döntés alapvetően befolyásolt</w:t>
      </w:r>
      <w:r>
        <w:rPr>
          <w:rFonts w:eastAsiaTheme="minorHAnsi"/>
          <w:bCs/>
          <w:i/>
          <w:sz w:val="24"/>
          <w:szCs w:val="24"/>
          <w:lang w:eastAsia="en-US"/>
        </w:rPr>
        <w:t xml:space="preserve">a az Önkormányzat gazdálkodását és likviditási helyzetét a helyi iparűzési adó vonatkozásában. </w:t>
      </w:r>
    </w:p>
    <w:p w:rsidR="002B6161" w:rsidRDefault="002B6161" w:rsidP="002B6161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„1.§</w:t>
      </w:r>
    </w:p>
    <w:p w:rsidR="002B6161" w:rsidRDefault="002B6161" w:rsidP="002B6161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(4) Az adózó az e rendelet hatálybalépésének napja és 2020. szeptember 30-a között esedékessé váló éves és soron kívüli helyi iparűzési adóbevallás-benyújtási kötelezettségét és az ezzel egyidejűleg teljesítendő adófizetési kötelezettségét, valamint a következő adóelőleg-fizetési időszakra szóló adóelőleg bevallás benyújtási kötelezettségét 2020. szeptember 30-ig teljesítheti.</w:t>
      </w:r>
    </w:p>
    <w:p w:rsidR="002B6161" w:rsidRDefault="002B6161" w:rsidP="002B6161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(5) Amennyiben az adózó iparűzési adóbevallás-benyújtási, adóelőleg-bevallási kötelezettségét a (4) bekezdésben foglaltak alkalmazásával a 2020-ban kezdődő adóelőleg-fizetési időszak első </w:t>
      </w:r>
      <w:r>
        <w:rPr>
          <w:rFonts w:eastAsiaTheme="minorHAnsi"/>
          <w:i/>
          <w:sz w:val="24"/>
          <w:szCs w:val="24"/>
          <w:lang w:eastAsia="en-US"/>
        </w:rPr>
        <w:lastRenderedPageBreak/>
        <w:t xml:space="preserve">előlegrészlete esedékessége napjáig nem teljesítette, akkor ezen előlegrészlet esedékességekor az előző – korábban bevallott – iparűzési </w:t>
      </w:r>
      <w:proofErr w:type="spellStart"/>
      <w:r>
        <w:rPr>
          <w:rFonts w:eastAsiaTheme="minorHAnsi"/>
          <w:i/>
          <w:sz w:val="24"/>
          <w:szCs w:val="24"/>
          <w:lang w:eastAsia="en-US"/>
        </w:rPr>
        <w:t>adóelőlegrészlet</w:t>
      </w:r>
      <w:proofErr w:type="spellEnd"/>
      <w:r>
        <w:rPr>
          <w:rFonts w:eastAsiaTheme="minorHAnsi"/>
          <w:i/>
          <w:sz w:val="24"/>
          <w:szCs w:val="24"/>
          <w:lang w:eastAsia="en-US"/>
        </w:rPr>
        <w:t xml:space="preserve"> összegét kell megfizetni. Az adózó ezen adóelőleg-részlet mérséklését annak esedékessége előtt kérheti, ha számításai szerint a 2020-ban kezdődő adóév adója nem éri el az adóévi adóelőleg összegét.</w:t>
      </w:r>
    </w:p>
    <w:p w:rsidR="002B6161" w:rsidRDefault="002B6161" w:rsidP="002B6161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(6) A helyi adókról szóló 1990. évi C. törvény 3. § (3) bekezdése szerinti nyilatkozatot legkésőbb 2020. szeptember 30-ig lehet benyújtani az adóhatósághoz.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2020. évben a tervezett iparűzési adóbevétel 17.500.000.- Ft, melyből június 30-ig 8.408.752 Ft folyt be</w:t>
      </w:r>
      <w:proofErr w:type="gramStart"/>
      <w:r>
        <w:rPr>
          <w:b/>
          <w:sz w:val="24"/>
          <w:szCs w:val="24"/>
        </w:rPr>
        <w:t xml:space="preserve">, </w:t>
      </w:r>
      <w:r w:rsidR="00A27F67">
        <w:rPr>
          <w:b/>
          <w:sz w:val="24"/>
          <w:szCs w:val="24"/>
        </w:rPr>
        <w:t xml:space="preserve"> december</w:t>
      </w:r>
      <w:proofErr w:type="gramEnd"/>
      <w:r w:rsidR="00A27F67">
        <w:rPr>
          <w:b/>
          <w:sz w:val="24"/>
          <w:szCs w:val="24"/>
        </w:rPr>
        <w:t xml:space="preserve"> 31-én 21.383.773 Ft-ra teljesült, ami 122 </w:t>
      </w:r>
      <w:r>
        <w:rPr>
          <w:b/>
          <w:sz w:val="24"/>
          <w:szCs w:val="24"/>
        </w:rPr>
        <w:t xml:space="preserve"> %-os teljesítés.</w:t>
      </w:r>
    </w:p>
    <w:p w:rsidR="005D6267" w:rsidRPr="00167541" w:rsidRDefault="005D6267" w:rsidP="002B6161">
      <w:pPr>
        <w:jc w:val="both"/>
        <w:rPr>
          <w:b/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pStyle w:val="Cmsor1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I. </w:t>
      </w:r>
      <w:r>
        <w:rPr>
          <w:b/>
          <w:color w:val="000000"/>
          <w:szCs w:val="24"/>
          <w:u w:val="single"/>
        </w:rPr>
        <w:t>BEVÉTELEK, KIADÁSOK</w:t>
      </w:r>
    </w:p>
    <w:p w:rsidR="002B6161" w:rsidRDefault="002B6161" w:rsidP="002B6161">
      <w:pPr>
        <w:jc w:val="center"/>
        <w:rPr>
          <w:color w:val="000000"/>
          <w:sz w:val="24"/>
          <w:szCs w:val="24"/>
        </w:rPr>
      </w:pPr>
    </w:p>
    <w:p w:rsidR="002B6161" w:rsidRDefault="002B6161" w:rsidP="002B6161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BEVÉTELEK</w:t>
      </w:r>
    </w:p>
    <w:p w:rsidR="001C6C5B" w:rsidRDefault="001C6C5B" w:rsidP="002B6161">
      <w:pPr>
        <w:pStyle w:val="Szvegtrzs2"/>
        <w:jc w:val="both"/>
        <w:rPr>
          <w:szCs w:val="24"/>
        </w:rPr>
      </w:pPr>
    </w:p>
    <w:p w:rsidR="002B6161" w:rsidRDefault="002B6161" w:rsidP="002B6161">
      <w:pPr>
        <w:pStyle w:val="Szvegtrzs2"/>
        <w:jc w:val="both"/>
        <w:rPr>
          <w:szCs w:val="24"/>
        </w:rPr>
      </w:pPr>
      <w:r>
        <w:rPr>
          <w:szCs w:val="24"/>
        </w:rPr>
        <w:t>Az önkormányzat tervsz</w:t>
      </w:r>
      <w:r w:rsidR="001C6C5B">
        <w:rPr>
          <w:szCs w:val="24"/>
        </w:rPr>
        <w:t xml:space="preserve">inten 403.270.073 Ft bevétellel számolt, ami 2020. december 31-én 491.820.486 Ft-ra teljesült. </w:t>
      </w:r>
    </w:p>
    <w:p w:rsidR="002B6161" w:rsidRDefault="002B6161" w:rsidP="002B6161">
      <w:pPr>
        <w:pStyle w:val="Szvegtrzs2"/>
        <w:jc w:val="both"/>
        <w:rPr>
          <w:szCs w:val="24"/>
        </w:rPr>
      </w:pPr>
      <w:r>
        <w:rPr>
          <w:szCs w:val="24"/>
        </w:rPr>
        <w:t>A b</w:t>
      </w:r>
      <w:r w:rsidR="001C6C5B">
        <w:rPr>
          <w:szCs w:val="24"/>
        </w:rPr>
        <w:t>evételi jogcímek alakulását a 2</w:t>
      </w:r>
      <w:r>
        <w:rPr>
          <w:szCs w:val="24"/>
        </w:rPr>
        <w:t>. számú melléklet mutatja Bezenye Községi Önkormányzat vonat</w:t>
      </w:r>
      <w:r w:rsidR="001C6C5B">
        <w:rPr>
          <w:szCs w:val="24"/>
        </w:rPr>
        <w:t xml:space="preserve">kozásában, </w:t>
      </w:r>
      <w:r>
        <w:rPr>
          <w:szCs w:val="24"/>
        </w:rPr>
        <w:t>ugyanilyen részletezésben mutatja</w:t>
      </w:r>
      <w:r w:rsidR="001C6C5B">
        <w:rPr>
          <w:szCs w:val="24"/>
        </w:rPr>
        <w:t xml:space="preserve"> be a 8. melléket</w:t>
      </w:r>
      <w:r>
        <w:rPr>
          <w:szCs w:val="24"/>
        </w:rPr>
        <w:t xml:space="preserve"> a Bezenyei Szá</w:t>
      </w:r>
      <w:r w:rsidR="001C6C5B">
        <w:rPr>
          <w:szCs w:val="24"/>
        </w:rPr>
        <w:t>zszorszép Óvoda vonatkozásában.</w:t>
      </w:r>
    </w:p>
    <w:p w:rsidR="002B6161" w:rsidRDefault="002B6161" w:rsidP="002B6161">
      <w:pPr>
        <w:pStyle w:val="Szvegtrzs2"/>
        <w:jc w:val="both"/>
        <w:rPr>
          <w:szCs w:val="24"/>
        </w:rPr>
      </w:pPr>
    </w:p>
    <w:p w:rsidR="002B6161" w:rsidRDefault="002B6161" w:rsidP="002B6161">
      <w:pPr>
        <w:pStyle w:val="Szvegtrzs2"/>
        <w:jc w:val="both"/>
        <w:rPr>
          <w:szCs w:val="24"/>
        </w:rPr>
      </w:pPr>
      <w:r>
        <w:rPr>
          <w:szCs w:val="24"/>
        </w:rPr>
        <w:t>Az egyes tételsorok a központi adatszolgáltatási rendszernek megfelelően kerültek kialakításra (Ft-ban).</w:t>
      </w:r>
    </w:p>
    <w:p w:rsidR="002B6161" w:rsidRDefault="002B6161" w:rsidP="002B6161">
      <w:pPr>
        <w:pStyle w:val="Szvegtrzs2"/>
        <w:jc w:val="both"/>
        <w:rPr>
          <w:szCs w:val="24"/>
        </w:rPr>
      </w:pPr>
    </w:p>
    <w:p w:rsidR="002B6161" w:rsidRDefault="002B6161" w:rsidP="002B61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Működési bevételek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Intézményi működési bevételek 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 központi besorolás a korábbi évekhez hasonló módon alakult, a fő bevételi jogcímek a szolgáltatások ellenértéke, bérleti és lízingdíjak, intézményi ellátási díjak, hozam és kamatbevételek, egyéb működési bevételek</w:t>
      </w:r>
    </w:p>
    <w:p w:rsidR="002B6161" w:rsidRDefault="002B6161" w:rsidP="002B6161">
      <w:pPr>
        <w:jc w:val="both"/>
        <w:rPr>
          <w:sz w:val="24"/>
          <w:szCs w:val="24"/>
          <w:highlight w:val="yellow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 legjelentősebb bevételi jogcímek teljesítése Ft-ban:</w:t>
      </w:r>
    </w:p>
    <w:p w:rsidR="002B6161" w:rsidRDefault="002B6161" w:rsidP="002B6161">
      <w:pPr>
        <w:jc w:val="both"/>
        <w:rPr>
          <w:sz w:val="24"/>
          <w:szCs w:val="24"/>
          <w:highlight w:val="yellow"/>
        </w:rPr>
      </w:pPr>
    </w:p>
    <w:tbl>
      <w:tblPr>
        <w:tblW w:w="71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1417"/>
        <w:gridCol w:w="1417"/>
        <w:gridCol w:w="1417"/>
      </w:tblGrid>
      <w:tr w:rsidR="002B6161" w:rsidTr="002B6161">
        <w:trPr>
          <w:trHeight w:val="330"/>
          <w:jc w:val="center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Jogcímek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Eredeti </w:t>
            </w:r>
            <w:proofErr w:type="spellStart"/>
            <w:r>
              <w:rPr>
                <w:b/>
                <w:bCs/>
                <w:sz w:val="24"/>
                <w:szCs w:val="24"/>
              </w:rPr>
              <w:t>ei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Mód. </w:t>
            </w:r>
            <w:proofErr w:type="spellStart"/>
            <w:r>
              <w:rPr>
                <w:b/>
                <w:bCs/>
                <w:sz w:val="24"/>
                <w:szCs w:val="24"/>
              </w:rPr>
              <w:t>ei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  <w:p w:rsidR="002B6161" w:rsidRDefault="002B61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Teljesítés</w:t>
            </w:r>
          </w:p>
          <w:p w:rsidR="002B6161" w:rsidRDefault="002B61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6161" w:rsidTr="002B6161">
        <w:trPr>
          <w:trHeight w:val="473"/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szolgáltatások ellenértéke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1.117.508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928.451</w:t>
            </w:r>
          </w:p>
        </w:tc>
      </w:tr>
      <w:tr w:rsidR="002B6161" w:rsidTr="002B6161">
        <w:trPr>
          <w:trHeight w:val="330"/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közvetített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6E7B">
              <w:rPr>
                <w:sz w:val="24"/>
                <w:szCs w:val="24"/>
              </w:rPr>
              <w:t>5.60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35.605</w:t>
            </w:r>
          </w:p>
        </w:tc>
      </w:tr>
      <w:tr w:rsidR="002B6161" w:rsidTr="002B6161">
        <w:trPr>
          <w:trHeight w:val="330"/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intézményi ellátási 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1477.422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1.477.422</w:t>
            </w:r>
          </w:p>
        </w:tc>
      </w:tr>
      <w:tr w:rsidR="002B6161" w:rsidTr="002B6161">
        <w:trPr>
          <w:trHeight w:val="330"/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kiszámlázott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tabs>
                <w:tab w:val="left" w:pos="106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531.900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691.872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640.827</w:t>
            </w:r>
          </w:p>
        </w:tc>
      </w:tr>
      <w:tr w:rsidR="002B6161" w:rsidTr="002B6161">
        <w:trPr>
          <w:trHeight w:val="330"/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egyéb működési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2B61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889.306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161" w:rsidRDefault="00906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889.306</w:t>
            </w:r>
          </w:p>
        </w:tc>
      </w:tr>
    </w:tbl>
    <w:p w:rsidR="002B6161" w:rsidRDefault="002B6161" w:rsidP="002B6161">
      <w:pPr>
        <w:jc w:val="both"/>
        <w:rPr>
          <w:b/>
          <w:sz w:val="24"/>
          <w:szCs w:val="24"/>
          <w:highlight w:val="yellow"/>
          <w:u w:val="single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Szolgáltatások ellenértéke</w:t>
      </w:r>
      <w:r>
        <w:rPr>
          <w:sz w:val="24"/>
          <w:szCs w:val="24"/>
        </w:rPr>
        <w:t xml:space="preserve"> a művelődési ház, önkormányz</w:t>
      </w:r>
      <w:r w:rsidR="0054777D">
        <w:rPr>
          <w:sz w:val="24"/>
          <w:szCs w:val="24"/>
        </w:rPr>
        <w:t xml:space="preserve">ati nem lakás célú helyiségének </w:t>
      </w:r>
      <w:r>
        <w:rPr>
          <w:sz w:val="24"/>
          <w:szCs w:val="24"/>
        </w:rPr>
        <w:t>bérleti díjából és közterület foglalási díjakból mutatható ki.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>
        <w:rPr>
          <w:b/>
          <w:sz w:val="24"/>
          <w:szCs w:val="24"/>
          <w:u w:val="single"/>
        </w:rPr>
        <w:t>intézményi ellátási díjak</w:t>
      </w:r>
      <w:r>
        <w:rPr>
          <w:sz w:val="24"/>
          <w:szCs w:val="24"/>
        </w:rPr>
        <w:t xml:space="preserve"> a költségvetési szervek rendeltetésszerű működéséből származnak, amelyeket az igénybevett szolgáltatásért – étkeztetés – fizetnek. 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97140B" w:rsidRDefault="0097140B" w:rsidP="002B6161">
      <w:pPr>
        <w:jc w:val="both"/>
        <w:rPr>
          <w:sz w:val="24"/>
          <w:szCs w:val="24"/>
        </w:rPr>
      </w:pPr>
    </w:p>
    <w:p w:rsidR="00476324" w:rsidRDefault="00476324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Az önkormányzat sajátos működési bevételei</w:t>
      </w:r>
    </w:p>
    <w:p w:rsidR="002B6161" w:rsidRDefault="002B6161" w:rsidP="002B6161">
      <w:pPr>
        <w:jc w:val="both"/>
        <w:rPr>
          <w:b/>
          <w:sz w:val="24"/>
          <w:szCs w:val="24"/>
          <w:u w:val="single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sajátos bevételek döntően a helyi adókat-, az állami támogatásokat-, illetve az önkormányzati vagyon hasznosításából származó bevételeket foglalják magukba. </w:t>
      </w:r>
    </w:p>
    <w:p w:rsidR="00906E7B" w:rsidRDefault="00906E7B" w:rsidP="002B6161">
      <w:pPr>
        <w:jc w:val="both"/>
        <w:rPr>
          <w:b/>
          <w:sz w:val="24"/>
          <w:szCs w:val="24"/>
          <w:u w:val="single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Helyi adók</w:t>
      </w:r>
      <w:r>
        <w:rPr>
          <w:sz w:val="24"/>
          <w:szCs w:val="24"/>
        </w:rPr>
        <w:t xml:space="preserve"> (Ft-ban) </w:t>
      </w:r>
    </w:p>
    <w:p w:rsidR="002B6161" w:rsidRDefault="002B6161" w:rsidP="002B6161">
      <w:pPr>
        <w:jc w:val="both"/>
        <w:rPr>
          <w:sz w:val="24"/>
          <w:szCs w:val="24"/>
          <w:highlight w:val="yellow"/>
        </w:rPr>
      </w:pPr>
    </w:p>
    <w:p w:rsidR="005D6267" w:rsidRDefault="005D6267" w:rsidP="005D6267">
      <w:pPr>
        <w:overflowPunct w:val="0"/>
        <w:autoSpaceDE w:val="0"/>
        <w:autoSpaceDN w:val="0"/>
        <w:adjustRightInd w:val="0"/>
        <w:jc w:val="both"/>
        <w:textAlignment w:val="baseline"/>
        <w:rPr>
          <w:kern w:val="22"/>
          <w:sz w:val="24"/>
          <w:szCs w:val="24"/>
        </w:rPr>
      </w:pPr>
      <w:r w:rsidRPr="009D585C">
        <w:rPr>
          <w:kern w:val="22"/>
          <w:sz w:val="24"/>
          <w:szCs w:val="24"/>
        </w:rPr>
        <w:t>Törvényi változás</w:t>
      </w:r>
      <w:r>
        <w:rPr>
          <w:kern w:val="22"/>
          <w:sz w:val="24"/>
          <w:szCs w:val="24"/>
        </w:rPr>
        <w:t>, rendeleti módosítás nem történt 2019. évről 2020. évre, ennek megfelelően Bezenye Községi Önkormányzat korábban is jellemző,</w:t>
      </w:r>
      <w:r w:rsidRPr="009D585C">
        <w:rPr>
          <w:kern w:val="22"/>
          <w:sz w:val="24"/>
          <w:szCs w:val="24"/>
        </w:rPr>
        <w:t xml:space="preserve"> körültekintő adóbevétel tervezését </w:t>
      </w:r>
      <w:r>
        <w:rPr>
          <w:kern w:val="22"/>
          <w:sz w:val="24"/>
          <w:szCs w:val="24"/>
        </w:rPr>
        <w:t xml:space="preserve">változatlan jogszabályi keretek mellett tehette meg 2020. gazdasági évre vonatkozóan. Az igazságos közteherviselés fenntartása, valamint a helyi adópolitika megbízhatósága iránti igény mellett az Önkormányzat </w:t>
      </w:r>
      <w:r w:rsidRPr="009D585C">
        <w:rPr>
          <w:kern w:val="22"/>
          <w:sz w:val="24"/>
          <w:szCs w:val="24"/>
        </w:rPr>
        <w:t xml:space="preserve">hagyományait követve a tervezést a maximális szakértelem és a tudatos előrelátás mellett, a megfelelő óvatosság is jellemezte. </w:t>
      </w:r>
      <w:r>
        <w:rPr>
          <w:kern w:val="22"/>
          <w:sz w:val="24"/>
          <w:szCs w:val="24"/>
        </w:rPr>
        <w:t xml:space="preserve">2020. év elején Bezenye Községi Önkormányzat </w:t>
      </w:r>
      <w:r w:rsidRPr="00740E4A">
        <w:rPr>
          <w:kern w:val="22"/>
          <w:sz w:val="24"/>
          <w:szCs w:val="24"/>
        </w:rPr>
        <w:t>még nem számolt a koronavírus-járvány esetleges következményeivel, illetve annak költségvetésre gyakorolt hatásaival sem. Ennek megfelelően, az előző évi – 2019. – tényadatokra támaszkodva, valamint igazodva a gazdaságpolitikai célkitűzésekhez, és a helyi adópolitikához az alábbi bevételek előirányzását tűzte ki magának 2020. évre:</w:t>
      </w:r>
    </w:p>
    <w:p w:rsidR="005D6267" w:rsidRDefault="005D6267" w:rsidP="002B6161">
      <w:pPr>
        <w:jc w:val="both"/>
        <w:rPr>
          <w:sz w:val="24"/>
          <w:szCs w:val="24"/>
          <w:highlight w:val="yellow"/>
        </w:rPr>
      </w:pPr>
    </w:p>
    <w:tbl>
      <w:tblPr>
        <w:tblW w:w="69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417"/>
        <w:gridCol w:w="1417"/>
      </w:tblGrid>
      <w:tr w:rsidR="0062018B" w:rsidTr="0062018B">
        <w:trPr>
          <w:trHeight w:val="633"/>
          <w:jc w:val="center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 w:rsidP="004F4B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Adónemek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Eredeti </w:t>
            </w:r>
            <w:proofErr w:type="spellStart"/>
            <w:r>
              <w:rPr>
                <w:b/>
                <w:bCs/>
                <w:sz w:val="24"/>
                <w:szCs w:val="24"/>
              </w:rPr>
              <w:t>ei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Teljesítés 2020.06.30.</w:t>
            </w:r>
          </w:p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Teljesítés</w:t>
            </w:r>
          </w:p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2020.12.31.</w:t>
            </w:r>
          </w:p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Vagyoni típusú adók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19.500.000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48.433.966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89.994.588</w:t>
            </w: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ebből:</w:t>
            </w:r>
          </w:p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Építmény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4.662.928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9.481.849</w:t>
            </w: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Telekadó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31.972.550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73.354.766</w:t>
            </w: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Kommunális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3.328.780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7.157.973</w:t>
            </w: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Iparűzési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17.500.000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8.408.752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21.383.772</w:t>
            </w: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18B" w:rsidRDefault="00620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Gépjárműadók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6.339.000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18B" w:rsidRPr="002E4036" w:rsidRDefault="0062018B">
            <w:pPr>
              <w:jc w:val="right"/>
              <w:rPr>
                <w:b/>
                <w:sz w:val="24"/>
                <w:szCs w:val="24"/>
              </w:rPr>
            </w:pPr>
            <w:r w:rsidRPr="002E4036">
              <w:rPr>
                <w:b/>
                <w:sz w:val="24"/>
                <w:szCs w:val="24"/>
              </w:rPr>
              <w:t>0</w:t>
            </w:r>
          </w:p>
        </w:tc>
      </w:tr>
      <w:tr w:rsidR="0062018B" w:rsidTr="0062018B">
        <w:trPr>
          <w:trHeight w:val="33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43.399.000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48.433.966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018B" w:rsidRDefault="0062018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111.378.360</w:t>
            </w:r>
          </w:p>
        </w:tc>
      </w:tr>
    </w:tbl>
    <w:p w:rsidR="002B6161" w:rsidRDefault="002B6161" w:rsidP="002B6161">
      <w:pPr>
        <w:tabs>
          <w:tab w:val="left" w:pos="8175"/>
        </w:tabs>
        <w:jc w:val="both"/>
        <w:rPr>
          <w:sz w:val="24"/>
          <w:szCs w:val="24"/>
        </w:rPr>
      </w:pPr>
    </w:p>
    <w:p w:rsidR="005D6267" w:rsidRPr="00740E4A" w:rsidRDefault="005D6267" w:rsidP="005D6267">
      <w:pPr>
        <w:overflowPunct w:val="0"/>
        <w:autoSpaceDE w:val="0"/>
        <w:autoSpaceDN w:val="0"/>
        <w:adjustRightInd w:val="0"/>
        <w:jc w:val="both"/>
        <w:textAlignment w:val="baseline"/>
        <w:rPr>
          <w:kern w:val="22"/>
          <w:sz w:val="24"/>
          <w:szCs w:val="24"/>
        </w:rPr>
      </w:pPr>
      <w:r>
        <w:rPr>
          <w:kern w:val="22"/>
          <w:sz w:val="24"/>
          <w:szCs w:val="24"/>
        </w:rPr>
        <w:t>A</w:t>
      </w:r>
      <w:r w:rsidRPr="00740E4A">
        <w:rPr>
          <w:kern w:val="22"/>
          <w:sz w:val="24"/>
          <w:szCs w:val="24"/>
        </w:rPr>
        <w:t xml:space="preserve"> Kormány 2020.március 11-én az élet- és vagyonbiztonságot veszélyeztető tömeges megbetegedést okozó humánjárvány következményeinek elhárítása, a magyar állampolgárok egészségének és életének megóvása érdekében Magyarország egész területére veszélyhelyzetet hirdetett ki. A veszélyhelyzet alatt a kormány néhány olyan adóügyi intézkedésekről döntött</w:t>
      </w:r>
      <w:r>
        <w:rPr>
          <w:kern w:val="22"/>
          <w:sz w:val="24"/>
          <w:szCs w:val="24"/>
        </w:rPr>
        <w:t>,</w:t>
      </w:r>
      <w:r w:rsidRPr="00740E4A">
        <w:rPr>
          <w:kern w:val="22"/>
          <w:sz w:val="24"/>
          <w:szCs w:val="24"/>
        </w:rPr>
        <w:t xml:space="preserve"> mely</w:t>
      </w:r>
      <w:r>
        <w:rPr>
          <w:kern w:val="22"/>
          <w:sz w:val="24"/>
          <w:szCs w:val="24"/>
        </w:rPr>
        <w:t>ek alapjaiban érintették a helyi adóbevételek</w:t>
      </w:r>
      <w:r w:rsidRPr="00740E4A">
        <w:rPr>
          <w:kern w:val="22"/>
          <w:sz w:val="24"/>
          <w:szCs w:val="24"/>
        </w:rPr>
        <w:t xml:space="preserve"> alakul</w:t>
      </w:r>
      <w:r>
        <w:rPr>
          <w:kern w:val="22"/>
          <w:sz w:val="24"/>
          <w:szCs w:val="24"/>
        </w:rPr>
        <w:t>ását. Bezenye községben ezek a változások a 2020. évben nem jelentettek problémát, mivel óvatosságból be nem tervezett telekadó bevételek jelentkeztek a 2020. adóévben, ez közel 85.000.0000 Ft többletbevételt jelentett.</w:t>
      </w:r>
    </w:p>
    <w:p w:rsidR="005D6267" w:rsidRDefault="005D6267" w:rsidP="005D6267">
      <w:pPr>
        <w:overflowPunct w:val="0"/>
        <w:autoSpaceDE w:val="0"/>
        <w:autoSpaceDN w:val="0"/>
        <w:adjustRightInd w:val="0"/>
        <w:jc w:val="both"/>
        <w:textAlignment w:val="baseline"/>
        <w:rPr>
          <w:kern w:val="22"/>
          <w:sz w:val="24"/>
          <w:szCs w:val="24"/>
        </w:rPr>
      </w:pPr>
      <w:r>
        <w:rPr>
          <w:kern w:val="22"/>
          <w:sz w:val="24"/>
          <w:szCs w:val="24"/>
        </w:rPr>
        <w:t>Az önkormányzatot</w:t>
      </w:r>
      <w:r w:rsidRPr="00740E4A">
        <w:rPr>
          <w:kern w:val="22"/>
          <w:sz w:val="24"/>
          <w:szCs w:val="24"/>
        </w:rPr>
        <w:t xml:space="preserve"> és ezen belül a helyi adóztatást jelentősen érintő döntésről szóló 140/2020. (VI.21.) Kormányrendelet a vállalkozások terheinek csökkentése érdekében a helyi iparűzési adó bevallási és befizetési határidejét május 31-éről szeptember 30-ára helyezte át, továbbá a gépjármű helyben maradó részének (beszedett gépjárműadó 40%-a) átcsoportosítását írta elő a Járvány Elleni Védekezés Alapba. </w:t>
      </w:r>
    </w:p>
    <w:p w:rsidR="005D6267" w:rsidRDefault="005D6267" w:rsidP="005D6267">
      <w:pPr>
        <w:jc w:val="both"/>
        <w:rPr>
          <w:sz w:val="24"/>
          <w:szCs w:val="24"/>
        </w:rPr>
      </w:pPr>
    </w:p>
    <w:p w:rsidR="005D6267" w:rsidRDefault="005D6267" w:rsidP="005D6267">
      <w:pPr>
        <w:jc w:val="both"/>
        <w:rPr>
          <w:sz w:val="24"/>
          <w:szCs w:val="24"/>
        </w:rPr>
      </w:pPr>
      <w:r>
        <w:rPr>
          <w:sz w:val="24"/>
          <w:szCs w:val="24"/>
        </w:rPr>
        <w:t>Bezenye Községi Önkormányzat</w:t>
      </w:r>
      <w:r w:rsidRPr="000A2988">
        <w:rPr>
          <w:sz w:val="24"/>
          <w:szCs w:val="24"/>
        </w:rPr>
        <w:t xml:space="preserve"> saját bevételei között kiemelkedő helyet foglalnak el a helyi adóbevételek, hiszen az egyik legjelentősebb bevételi forrását bi</w:t>
      </w:r>
      <w:r>
        <w:rPr>
          <w:sz w:val="24"/>
          <w:szCs w:val="24"/>
        </w:rPr>
        <w:t xml:space="preserve">ztosítják a költségvetésnek. </w:t>
      </w:r>
      <w:r w:rsidRPr="000A2988">
        <w:rPr>
          <w:sz w:val="24"/>
          <w:szCs w:val="24"/>
        </w:rPr>
        <w:t xml:space="preserve">A </w:t>
      </w:r>
      <w:r w:rsidRPr="000A2988">
        <w:rPr>
          <w:sz w:val="24"/>
          <w:szCs w:val="24"/>
        </w:rPr>
        <w:lastRenderedPageBreak/>
        <w:t xml:space="preserve">feladatellátás terhe továbbra sem csökken arányosan, így az adóbevételek szerepe egyre nagyobb teret </w:t>
      </w:r>
      <w:r>
        <w:rPr>
          <w:sz w:val="24"/>
          <w:szCs w:val="24"/>
        </w:rPr>
        <w:t>kap az Önkormányzat büdzséjében.</w:t>
      </w:r>
    </w:p>
    <w:p w:rsidR="005D6267" w:rsidRDefault="005D6267" w:rsidP="005D6267">
      <w:pPr>
        <w:rPr>
          <w:sz w:val="24"/>
          <w:szCs w:val="24"/>
        </w:rPr>
      </w:pPr>
      <w:r>
        <w:rPr>
          <w:sz w:val="24"/>
          <w:szCs w:val="24"/>
        </w:rPr>
        <w:t>Építmény adóban 388, telekadóban 180, magánszemélyek kommunális adójában 552 adótárgy volt nyilvántartva a 2020. adóévben. Iparűzési adót 148 adózó fizet a községben.</w:t>
      </w:r>
    </w:p>
    <w:p w:rsidR="002B6161" w:rsidRDefault="002B6161" w:rsidP="002B6161">
      <w:pPr>
        <w:pStyle w:val="Szvegtrzs"/>
        <w:rPr>
          <w:szCs w:val="24"/>
          <w:highlight w:val="yellow"/>
        </w:rPr>
      </w:pPr>
    </w:p>
    <w:p w:rsidR="002B6161" w:rsidRDefault="002B6161" w:rsidP="002B6161">
      <w:pPr>
        <w:pStyle w:val="Szvegtrzs"/>
        <w:rPr>
          <w:b/>
          <w:szCs w:val="24"/>
          <w:u w:val="single"/>
        </w:rPr>
      </w:pPr>
      <w:r>
        <w:rPr>
          <w:b/>
          <w:szCs w:val="24"/>
          <w:u w:val="single"/>
        </w:rPr>
        <w:t>Pótlékok, bírságok</w:t>
      </w:r>
    </w:p>
    <w:p w:rsidR="002B6161" w:rsidRDefault="002B6161" w:rsidP="002B6161">
      <w:pPr>
        <w:pStyle w:val="Szvegtrzs"/>
        <w:rPr>
          <w:b/>
          <w:szCs w:val="24"/>
          <w:highlight w:val="yellow"/>
          <w:u w:val="single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 helyi adókh</w:t>
      </w:r>
      <w:r w:rsidR="002E4036">
        <w:rPr>
          <w:sz w:val="24"/>
          <w:szCs w:val="24"/>
        </w:rPr>
        <w:t>oz ka</w:t>
      </w:r>
      <w:r w:rsidR="0054777D">
        <w:rPr>
          <w:sz w:val="24"/>
          <w:szCs w:val="24"/>
        </w:rPr>
        <w:t>pcsolódó késedelmi pótlék címén</w:t>
      </w:r>
      <w:r>
        <w:rPr>
          <w:sz w:val="24"/>
          <w:szCs w:val="24"/>
        </w:rPr>
        <w:t xml:space="preserve"> </w:t>
      </w:r>
      <w:r w:rsidR="002E4036" w:rsidRPr="002E4036">
        <w:rPr>
          <w:b/>
          <w:sz w:val="24"/>
          <w:szCs w:val="24"/>
        </w:rPr>
        <w:t>1.148.301</w:t>
      </w:r>
      <w:r w:rsidR="002E403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Ft folyt be.</w:t>
      </w:r>
    </w:p>
    <w:p w:rsidR="002B6161" w:rsidRDefault="002B6161" w:rsidP="002B6161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5D6267" w:rsidRPr="005D6267" w:rsidRDefault="005D6267" w:rsidP="005D6267">
      <w:pPr>
        <w:rPr>
          <w:b/>
          <w:sz w:val="24"/>
          <w:szCs w:val="24"/>
          <w:lang w:eastAsia="en-US"/>
        </w:rPr>
      </w:pPr>
      <w:r w:rsidRPr="005D6267">
        <w:rPr>
          <w:b/>
          <w:sz w:val="24"/>
          <w:szCs w:val="24"/>
          <w:lang w:eastAsia="en-US"/>
        </w:rPr>
        <w:t>Az összes közhatalmi bevétel a pótlékokkal együtt 112.526.661 Ft.</w:t>
      </w:r>
    </w:p>
    <w:p w:rsidR="005D6267" w:rsidRDefault="005D6267" w:rsidP="005D6267">
      <w:pPr>
        <w:spacing w:line="360" w:lineRule="auto"/>
        <w:rPr>
          <w:sz w:val="24"/>
          <w:szCs w:val="24"/>
        </w:rPr>
      </w:pPr>
    </w:p>
    <w:p w:rsidR="005D6267" w:rsidRDefault="005D6267" w:rsidP="002B6161">
      <w:pPr>
        <w:jc w:val="both"/>
        <w:rPr>
          <w:sz w:val="24"/>
          <w:szCs w:val="24"/>
          <w:highlight w:val="yellow"/>
        </w:rPr>
      </w:pPr>
    </w:p>
    <w:p w:rsidR="002B6161" w:rsidRDefault="002B6161" w:rsidP="002B6161">
      <w:pPr>
        <w:pStyle w:val="Szvegtrzs"/>
        <w:rPr>
          <w:b/>
          <w:szCs w:val="24"/>
          <w:u w:val="single"/>
        </w:rPr>
      </w:pPr>
      <w:r>
        <w:rPr>
          <w:b/>
          <w:szCs w:val="24"/>
        </w:rPr>
        <w:t xml:space="preserve">3. </w:t>
      </w:r>
      <w:r>
        <w:rPr>
          <w:b/>
          <w:szCs w:val="24"/>
          <w:u w:val="single"/>
        </w:rPr>
        <w:t>Támogatások, támogatásértékű bevételek, kiegészítések</w:t>
      </w:r>
    </w:p>
    <w:p w:rsidR="002B6161" w:rsidRDefault="002B6161" w:rsidP="002B6161">
      <w:pPr>
        <w:pStyle w:val="Szvegtrzs"/>
        <w:rPr>
          <w:b/>
          <w:szCs w:val="24"/>
          <w:u w:val="single"/>
        </w:rPr>
      </w:pPr>
    </w:p>
    <w:p w:rsidR="002B6161" w:rsidRDefault="002B6161" w:rsidP="002B6161">
      <w:pPr>
        <w:pStyle w:val="Szvegtrzs"/>
        <w:ind w:left="284" w:hanging="284"/>
        <w:rPr>
          <w:szCs w:val="24"/>
        </w:rPr>
      </w:pPr>
      <w:r>
        <w:rPr>
          <w:b/>
          <w:szCs w:val="24"/>
          <w:u w:val="single"/>
        </w:rPr>
        <w:t>Önkormányzatok költségvetési támogatása</w:t>
      </w:r>
      <w:r>
        <w:rPr>
          <w:szCs w:val="24"/>
        </w:rPr>
        <w:t xml:space="preserve"> </w:t>
      </w:r>
    </w:p>
    <w:p w:rsidR="002B6161" w:rsidRDefault="002B6161" w:rsidP="002B6161">
      <w:pPr>
        <w:pStyle w:val="Szvegtrzs"/>
        <w:ind w:left="284" w:hanging="284"/>
        <w:rPr>
          <w:szCs w:val="24"/>
        </w:rPr>
      </w:pPr>
    </w:p>
    <w:p w:rsidR="002B6161" w:rsidRDefault="002B6161" w:rsidP="002B6161">
      <w:pPr>
        <w:pStyle w:val="Szvegtrzs"/>
        <w:ind w:left="284" w:hanging="284"/>
        <w:rPr>
          <w:szCs w:val="24"/>
        </w:rPr>
      </w:pPr>
      <w:r>
        <w:rPr>
          <w:szCs w:val="24"/>
        </w:rPr>
        <w:t xml:space="preserve">A költségvetési kapcsolatokból az alábbi forrásokat kaptuk </w:t>
      </w:r>
      <w:r w:rsidR="0054777D">
        <w:rPr>
          <w:szCs w:val="24"/>
        </w:rPr>
        <w:t xml:space="preserve">az év során: </w:t>
      </w:r>
    </w:p>
    <w:p w:rsidR="0054777D" w:rsidRDefault="0054777D" w:rsidP="002B6161">
      <w:pPr>
        <w:pStyle w:val="Szvegtrzs"/>
        <w:ind w:left="284" w:hanging="284"/>
        <w:rPr>
          <w:szCs w:val="24"/>
          <w:highlight w:val="yellow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2"/>
        <w:gridCol w:w="1701"/>
        <w:gridCol w:w="1701"/>
        <w:gridCol w:w="1701"/>
      </w:tblGrid>
      <w:tr w:rsidR="002B6161" w:rsidTr="002B616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61" w:rsidRDefault="002B6161">
            <w:pPr>
              <w:pStyle w:val="Szvegtrzs"/>
              <w:jc w:val="center"/>
              <w:rPr>
                <w:szCs w:val="24"/>
              </w:rPr>
            </w:pPr>
          </w:p>
          <w:p w:rsidR="002B6161" w:rsidRDefault="002B6161">
            <w:pPr>
              <w:pStyle w:val="Szvegtrzs"/>
              <w:jc w:val="center"/>
              <w:rPr>
                <w:szCs w:val="24"/>
              </w:rPr>
            </w:pPr>
            <w:r>
              <w:rPr>
                <w:szCs w:val="24"/>
              </w:rPr>
              <w:t>Jogcím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Eredeti </w:t>
            </w:r>
            <w:proofErr w:type="spellStart"/>
            <w:r>
              <w:rPr>
                <w:szCs w:val="24"/>
              </w:rPr>
              <w:t>ei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Módosított </w:t>
            </w:r>
            <w:proofErr w:type="spellStart"/>
            <w:r>
              <w:rPr>
                <w:szCs w:val="24"/>
              </w:rPr>
              <w:t>ei</w:t>
            </w:r>
            <w:proofErr w:type="spellEnd"/>
            <w:r>
              <w:rPr>
                <w:szCs w:val="24"/>
              </w:rPr>
              <w:t>.</w:t>
            </w:r>
          </w:p>
          <w:p w:rsidR="002B6161" w:rsidRDefault="002B6161">
            <w:pPr>
              <w:pStyle w:val="Szvegtrzs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jc w:val="center"/>
              <w:rPr>
                <w:szCs w:val="24"/>
              </w:rPr>
            </w:pPr>
            <w:r>
              <w:rPr>
                <w:szCs w:val="24"/>
              </w:rPr>
              <w:t>Teljesítés</w:t>
            </w:r>
          </w:p>
          <w:p w:rsidR="002B6161" w:rsidRDefault="002B6161">
            <w:pPr>
              <w:pStyle w:val="Szvegtrzs"/>
              <w:jc w:val="center"/>
              <w:rPr>
                <w:szCs w:val="24"/>
              </w:rPr>
            </w:pPr>
          </w:p>
        </w:tc>
      </w:tr>
      <w:tr w:rsidR="002B6161" w:rsidTr="002B616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rPr>
                <w:szCs w:val="24"/>
              </w:rPr>
            </w:pPr>
            <w:r>
              <w:rPr>
                <w:rStyle w:val="Norml1"/>
                <w:szCs w:val="24"/>
              </w:rPr>
              <w:t>Helyi önkormányzatok működésének általános támogatása (B111)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30 443 839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30 443 839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30 443 839</w:t>
            </w:r>
          </w:p>
        </w:tc>
      </w:tr>
      <w:tr w:rsidR="002B6161" w:rsidTr="002B6161">
        <w:trPr>
          <w:trHeight w:val="98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rPr>
                <w:szCs w:val="24"/>
              </w:rPr>
            </w:pPr>
            <w:r>
              <w:rPr>
                <w:rStyle w:val="Norml1"/>
                <w:szCs w:val="24"/>
              </w:rPr>
              <w:t>Települési önkormányzatok egyes köznevelési feladatainak támogatása (B112)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35 180 270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37 298 800</w:t>
            </w:r>
            <w:r w:rsidR="002B6161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37 298 800</w:t>
            </w:r>
          </w:p>
        </w:tc>
      </w:tr>
      <w:tr w:rsidR="002B6161" w:rsidTr="002B616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rPr>
                <w:szCs w:val="24"/>
              </w:rPr>
            </w:pPr>
            <w:r>
              <w:rPr>
                <w:rStyle w:val="Norml1"/>
                <w:szCs w:val="24"/>
              </w:rPr>
              <w:t>Települési önkormányzatok szociális, gyermekjóléti és gyermekétkeztetési feladatainak támogatása (B113)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13 051 636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11 848 676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11 848 676</w:t>
            </w:r>
          </w:p>
        </w:tc>
      </w:tr>
      <w:tr w:rsidR="002B6161" w:rsidTr="002B616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rPr>
                <w:szCs w:val="24"/>
              </w:rPr>
            </w:pPr>
            <w:r>
              <w:rPr>
                <w:rStyle w:val="Norml1"/>
                <w:szCs w:val="24"/>
              </w:rPr>
              <w:t>Települési önkormányzatok kulturális feladatainak támogatása (B114)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1 800 000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2 417 050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2 417 050</w:t>
            </w:r>
          </w:p>
        </w:tc>
      </w:tr>
      <w:tr w:rsidR="002B6161" w:rsidTr="002B616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rPr>
                <w:szCs w:val="24"/>
              </w:rPr>
            </w:pPr>
            <w:r>
              <w:rPr>
                <w:rStyle w:val="Norml2"/>
                <w:szCs w:val="24"/>
              </w:rPr>
              <w:t xml:space="preserve">Egyéb működési célú támogatások bevételei államháztartáson belülről </w:t>
            </w:r>
            <w:r>
              <w:rPr>
                <w:rStyle w:val="Norml1"/>
                <w:szCs w:val="24"/>
              </w:rPr>
              <w:t>(B16)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6 732 000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10 203 574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szCs w:val="24"/>
              </w:rPr>
            </w:pPr>
            <w:r>
              <w:rPr>
                <w:szCs w:val="24"/>
              </w:rPr>
              <w:t>10 203 574</w:t>
            </w:r>
          </w:p>
        </w:tc>
      </w:tr>
      <w:tr w:rsidR="002B6161" w:rsidTr="002B616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61" w:rsidRDefault="002B6161">
            <w:pPr>
              <w:pStyle w:val="Szvegtrzs"/>
              <w:rPr>
                <w:b/>
                <w:szCs w:val="24"/>
              </w:rPr>
            </w:pPr>
            <w:r>
              <w:rPr>
                <w:rStyle w:val="bold"/>
                <w:b/>
                <w:szCs w:val="24"/>
              </w:rPr>
              <w:t>Önkormányzatok működési támogatásai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2B6161">
            <w:pPr>
              <w:pStyle w:val="Szvegtrzs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87 207 745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92 678 664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61" w:rsidRDefault="00677E45">
            <w:pPr>
              <w:pStyle w:val="Szvegtrzs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92 678 664</w:t>
            </w:r>
          </w:p>
        </w:tc>
      </w:tr>
    </w:tbl>
    <w:p w:rsidR="002B6161" w:rsidRDefault="002B6161" w:rsidP="002B6161">
      <w:pPr>
        <w:pStyle w:val="Szvegtrzs"/>
        <w:ind w:left="360"/>
        <w:rPr>
          <w:szCs w:val="24"/>
          <w:highlight w:val="yellow"/>
        </w:rPr>
      </w:pPr>
    </w:p>
    <w:p w:rsidR="002B6161" w:rsidRDefault="002B6161" w:rsidP="002B6161">
      <w:pPr>
        <w:pStyle w:val="Szvegtrzs"/>
        <w:rPr>
          <w:szCs w:val="24"/>
        </w:rPr>
      </w:pPr>
      <w:r>
        <w:rPr>
          <w:szCs w:val="24"/>
        </w:rPr>
        <w:t xml:space="preserve">Az állami támogatások havi rendszerességgel érkeznek a Magyar Államkincstártól, a jogszabályi előírásoknak megfelelően. </w:t>
      </w:r>
    </w:p>
    <w:p w:rsidR="005D6267" w:rsidRDefault="005D6267" w:rsidP="002B6161">
      <w:pPr>
        <w:pStyle w:val="Szvegtrzs"/>
        <w:rPr>
          <w:szCs w:val="24"/>
        </w:rPr>
      </w:pPr>
    </w:p>
    <w:p w:rsidR="005D6267" w:rsidRDefault="005D6267" w:rsidP="002B6161">
      <w:pPr>
        <w:pStyle w:val="Szvegtrzs"/>
        <w:rPr>
          <w:szCs w:val="24"/>
        </w:rPr>
      </w:pPr>
    </w:p>
    <w:p w:rsidR="002B6161" w:rsidRDefault="002B6161" w:rsidP="002B6161">
      <w:pPr>
        <w:pStyle w:val="Szvegtrzs"/>
        <w:rPr>
          <w:szCs w:val="24"/>
          <w:highlight w:val="yellow"/>
        </w:rPr>
      </w:pPr>
    </w:p>
    <w:p w:rsidR="00476324" w:rsidRDefault="00476324" w:rsidP="002B6161">
      <w:pPr>
        <w:pStyle w:val="Szvegtrzs"/>
        <w:rPr>
          <w:szCs w:val="24"/>
          <w:highlight w:val="yellow"/>
        </w:rPr>
      </w:pPr>
    </w:p>
    <w:p w:rsidR="00476324" w:rsidRDefault="00476324" w:rsidP="002B6161">
      <w:pPr>
        <w:pStyle w:val="Szvegtrzs"/>
        <w:rPr>
          <w:szCs w:val="24"/>
          <w:highlight w:val="yellow"/>
        </w:rPr>
      </w:pPr>
    </w:p>
    <w:p w:rsidR="00C91002" w:rsidRPr="00C91002" w:rsidRDefault="00167541" w:rsidP="002B6161">
      <w:pPr>
        <w:pStyle w:val="Szvegtrzs"/>
        <w:rPr>
          <w:b/>
          <w:szCs w:val="24"/>
        </w:rPr>
      </w:pPr>
      <w:r>
        <w:rPr>
          <w:b/>
          <w:szCs w:val="24"/>
        </w:rPr>
        <w:t xml:space="preserve">4. </w:t>
      </w:r>
      <w:r w:rsidR="00C91002" w:rsidRPr="00C91002">
        <w:rPr>
          <w:b/>
          <w:szCs w:val="24"/>
        </w:rPr>
        <w:t xml:space="preserve">Az Önkormányzat </w:t>
      </w:r>
      <w:r w:rsidR="00F8029C">
        <w:rPr>
          <w:b/>
          <w:szCs w:val="24"/>
        </w:rPr>
        <w:t xml:space="preserve">költségvetésébe </w:t>
      </w:r>
      <w:r w:rsidR="00C91002" w:rsidRPr="00C91002">
        <w:rPr>
          <w:b/>
          <w:szCs w:val="24"/>
        </w:rPr>
        <w:t>az alábbi bevételek</w:t>
      </w:r>
      <w:r w:rsidR="00F8029C">
        <w:rPr>
          <w:b/>
          <w:szCs w:val="24"/>
        </w:rPr>
        <w:t xml:space="preserve"> folytak be</w:t>
      </w:r>
      <w:r w:rsidR="00A84AFD">
        <w:rPr>
          <w:b/>
          <w:szCs w:val="24"/>
        </w:rPr>
        <w:t xml:space="preserve">: </w:t>
      </w:r>
    </w:p>
    <w:p w:rsidR="00C91002" w:rsidRPr="00C91002" w:rsidRDefault="00C91002" w:rsidP="002B6161">
      <w:pPr>
        <w:pStyle w:val="Szvegtrzs"/>
        <w:rPr>
          <w:szCs w:val="24"/>
        </w:rPr>
      </w:pPr>
    </w:p>
    <w:p w:rsidR="002B6161" w:rsidRDefault="002B6161" w:rsidP="002B6161">
      <w:pPr>
        <w:pStyle w:val="Szvegtrzs"/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Felsőszigetközi</w:t>
      </w:r>
      <w:proofErr w:type="spellEnd"/>
      <w:r>
        <w:rPr>
          <w:szCs w:val="24"/>
        </w:rPr>
        <w:t xml:space="preserve"> Vadászati Kft. vagyonfelosztásából az önkormányzat 1.224.366 Ft-ot kapott, mely összeg felhasználási célja nincs meghatározva.</w:t>
      </w:r>
    </w:p>
    <w:p w:rsidR="0054777D" w:rsidRDefault="0054777D" w:rsidP="002B6161">
      <w:pPr>
        <w:pStyle w:val="Szvegtrzs"/>
        <w:rPr>
          <w:szCs w:val="24"/>
        </w:rPr>
      </w:pPr>
    </w:p>
    <w:p w:rsidR="002B6161" w:rsidRDefault="001857D9" w:rsidP="002B6161">
      <w:pPr>
        <w:pStyle w:val="Szvegtrzs"/>
        <w:rPr>
          <w:szCs w:val="24"/>
        </w:rPr>
      </w:pPr>
      <w:r>
        <w:rPr>
          <w:szCs w:val="24"/>
        </w:rPr>
        <w:t>Az iskolai ÖKO kert megvalósítására az Önkormányzat kötött megállapodást, melynek keretében 1.390.000 Ft támogatás érkezett a számlánkra</w:t>
      </w:r>
      <w:r w:rsidR="00C91002">
        <w:rPr>
          <w:szCs w:val="24"/>
        </w:rPr>
        <w:t xml:space="preserve"> az iskolai ÖKO kert megvalósítására.</w:t>
      </w:r>
      <w:r w:rsidR="0054777D">
        <w:rPr>
          <w:szCs w:val="24"/>
        </w:rPr>
        <w:t xml:space="preserve"> A támogatás – a megállapodás alapján - </w:t>
      </w:r>
      <w:r>
        <w:rPr>
          <w:szCs w:val="24"/>
        </w:rPr>
        <w:t>teljes egészében biztosít</w:t>
      </w:r>
      <w:r w:rsidR="0054777D">
        <w:rPr>
          <w:szCs w:val="24"/>
        </w:rPr>
        <w:t>otta az ÖKO kert megvalósítását az iskolában.</w:t>
      </w:r>
    </w:p>
    <w:p w:rsidR="002628B8" w:rsidRDefault="002628B8" w:rsidP="002B6161">
      <w:pPr>
        <w:pStyle w:val="Szvegtrzs"/>
        <w:rPr>
          <w:szCs w:val="24"/>
        </w:rPr>
      </w:pPr>
    </w:p>
    <w:p w:rsidR="002628B8" w:rsidRDefault="002628B8" w:rsidP="002B6161">
      <w:pPr>
        <w:pStyle w:val="Szvegtrzs"/>
        <w:rPr>
          <w:szCs w:val="24"/>
        </w:rPr>
      </w:pPr>
      <w:r>
        <w:rPr>
          <w:szCs w:val="24"/>
        </w:rPr>
        <w:t>A Magyar Falu Program keretében az Önkormányzat pályázatot nyert:</w:t>
      </w:r>
    </w:p>
    <w:p w:rsidR="002628B8" w:rsidRDefault="002628B8" w:rsidP="002B6161">
      <w:pPr>
        <w:pStyle w:val="Szvegtrzs"/>
        <w:rPr>
          <w:szCs w:val="24"/>
        </w:rPr>
      </w:pPr>
    </w:p>
    <w:p w:rsidR="00CB0803" w:rsidRDefault="00CB0803" w:rsidP="00CB0803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orvosi gép, műszer </w:t>
      </w:r>
      <w:r w:rsidR="0054777D">
        <w:rPr>
          <w:szCs w:val="24"/>
        </w:rPr>
        <w:t>beszerzésre (magzati szívhangvi</w:t>
      </w:r>
      <w:r>
        <w:rPr>
          <w:szCs w:val="24"/>
        </w:rPr>
        <w:t>zsgáló, hallásvizsgáló készülék, EKG készülék és laptop)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b/>
          <w:szCs w:val="24"/>
        </w:rPr>
        <w:t>1.1.41.297 Ft</w:t>
      </w:r>
      <w:r>
        <w:rPr>
          <w:szCs w:val="24"/>
        </w:rPr>
        <w:t xml:space="preserve"> </w:t>
      </w:r>
    </w:p>
    <w:p w:rsidR="001857D9" w:rsidRDefault="00CB0803" w:rsidP="002B6161">
      <w:pPr>
        <w:pStyle w:val="Szvegtrzs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 xml:space="preserve">Művelődési Ház részleges felújítására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0803">
        <w:rPr>
          <w:b/>
          <w:szCs w:val="24"/>
        </w:rPr>
        <w:t>10.259.860 Ft</w:t>
      </w:r>
    </w:p>
    <w:p w:rsidR="00CB0803" w:rsidRPr="00CB0803" w:rsidRDefault="00CB0803" w:rsidP="002B6161">
      <w:pPr>
        <w:pStyle w:val="Szvegtrzs"/>
        <w:numPr>
          <w:ilvl w:val="0"/>
          <w:numId w:val="1"/>
        </w:numPr>
        <w:rPr>
          <w:szCs w:val="24"/>
        </w:rPr>
      </w:pPr>
      <w:r w:rsidRPr="00CB0803">
        <w:rPr>
          <w:szCs w:val="24"/>
        </w:rPr>
        <w:t>Önkormányzati hivatal épületének tetőfelújítására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14.136.300 Ft</w:t>
      </w:r>
    </w:p>
    <w:p w:rsidR="00CB0803" w:rsidRPr="00CB0803" w:rsidRDefault="00CB0803" w:rsidP="002B6161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Tanya és falugondnoki busz beszerzésére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14.989.999 Ft</w:t>
      </w:r>
    </w:p>
    <w:p w:rsidR="00CB0803" w:rsidRDefault="00CB0803" w:rsidP="00CB0803">
      <w:pPr>
        <w:pStyle w:val="Szvegtrzs"/>
        <w:rPr>
          <w:b/>
          <w:szCs w:val="24"/>
        </w:rPr>
      </w:pPr>
    </w:p>
    <w:p w:rsidR="0054777D" w:rsidRDefault="00D529CC" w:rsidP="00CB0803">
      <w:pPr>
        <w:pStyle w:val="Szvegtrzs"/>
        <w:rPr>
          <w:szCs w:val="24"/>
        </w:rPr>
      </w:pPr>
      <w:r>
        <w:rPr>
          <w:szCs w:val="24"/>
        </w:rPr>
        <w:t xml:space="preserve">A pályázati 100 </w:t>
      </w:r>
      <w:r w:rsidR="0043038C">
        <w:rPr>
          <w:szCs w:val="24"/>
        </w:rPr>
        <w:t>%-os mértékű támogatási előleget</w:t>
      </w:r>
      <w:r>
        <w:rPr>
          <w:szCs w:val="24"/>
        </w:rPr>
        <w:t xml:space="preserve"> az Önkormányzat letéti számlán, elkülönítetten kezeli. </w:t>
      </w:r>
    </w:p>
    <w:p w:rsidR="00D529CC" w:rsidRPr="0054777D" w:rsidRDefault="00D529CC" w:rsidP="00CB0803">
      <w:pPr>
        <w:pStyle w:val="Szvegtrzs"/>
        <w:rPr>
          <w:szCs w:val="24"/>
        </w:rPr>
      </w:pPr>
    </w:p>
    <w:p w:rsidR="008258EB" w:rsidRDefault="00CB0803" w:rsidP="00CB0803">
      <w:pPr>
        <w:pStyle w:val="Szvegtrzs"/>
        <w:rPr>
          <w:szCs w:val="24"/>
        </w:rPr>
      </w:pPr>
      <w:r>
        <w:rPr>
          <w:szCs w:val="24"/>
        </w:rPr>
        <w:t xml:space="preserve">A Belügyminisztérium pályázatán a szociális rászorulók részére </w:t>
      </w:r>
      <w:r w:rsidR="008258EB">
        <w:rPr>
          <w:szCs w:val="24"/>
        </w:rPr>
        <w:t xml:space="preserve">147 q </w:t>
      </w:r>
      <w:r>
        <w:rPr>
          <w:szCs w:val="24"/>
        </w:rPr>
        <w:t xml:space="preserve">barnakőszén vásárlására </w:t>
      </w:r>
      <w:r w:rsidRPr="00B72B12">
        <w:rPr>
          <w:b/>
          <w:szCs w:val="24"/>
        </w:rPr>
        <w:t>nyertünk 4</w:t>
      </w:r>
      <w:r w:rsidR="008258EB" w:rsidRPr="00B72B12">
        <w:rPr>
          <w:b/>
          <w:szCs w:val="24"/>
        </w:rPr>
        <w:t>66.725 Ft</w:t>
      </w:r>
      <w:r w:rsidR="008258EB">
        <w:rPr>
          <w:szCs w:val="24"/>
        </w:rPr>
        <w:t xml:space="preserve"> támogatást. </w:t>
      </w:r>
    </w:p>
    <w:p w:rsidR="008258EB" w:rsidRPr="00CB0803" w:rsidRDefault="008258EB" w:rsidP="00CB0803">
      <w:pPr>
        <w:pStyle w:val="Szvegtrzs"/>
        <w:rPr>
          <w:szCs w:val="24"/>
        </w:rPr>
      </w:pPr>
    </w:p>
    <w:p w:rsidR="002B6161" w:rsidRDefault="002B6161" w:rsidP="002B6161">
      <w:pPr>
        <w:pStyle w:val="Cmsor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KIADÁSOK</w:t>
      </w:r>
    </w:p>
    <w:p w:rsidR="002B6161" w:rsidRDefault="002B6161" w:rsidP="002B6161">
      <w:pPr>
        <w:rPr>
          <w:sz w:val="24"/>
          <w:szCs w:val="24"/>
          <w:highlight w:val="yellow"/>
        </w:rPr>
      </w:pPr>
    </w:p>
    <w:p w:rsidR="002B6161" w:rsidRDefault="002B6161" w:rsidP="002B6161">
      <w:pPr>
        <w:rPr>
          <w:b/>
          <w:sz w:val="24"/>
          <w:szCs w:val="24"/>
          <w:highlight w:val="yellow"/>
          <w:u w:val="single"/>
        </w:rPr>
      </w:pPr>
    </w:p>
    <w:p w:rsidR="002B6161" w:rsidRPr="00A84AFD" w:rsidRDefault="002B6161" w:rsidP="00A84AFD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t>A 2020. évi költs</w:t>
      </w:r>
      <w:r w:rsidR="00EE1669">
        <w:t>égvetés kiadási előirányzata 402.875.918</w:t>
      </w:r>
      <w:r w:rsidR="0043038C">
        <w:t xml:space="preserve"> Ft volt, ami </w:t>
      </w:r>
      <w:r w:rsidR="0089644F">
        <w:t xml:space="preserve">491.820.486 </w:t>
      </w:r>
      <w:r>
        <w:t xml:space="preserve">Ft-ra teljesült. </w:t>
      </w:r>
      <w:r w:rsidR="0043038C">
        <w:t>A</w:t>
      </w:r>
      <w:r w:rsidR="00A84AFD">
        <w:t xml:space="preserve"> tényleges kiadás összege </w:t>
      </w:r>
      <w:r w:rsidR="00A84AFD">
        <w:rPr>
          <w:b/>
          <w:color w:val="000000"/>
        </w:rPr>
        <w:t>213.428.156</w:t>
      </w:r>
      <w:r w:rsidR="00A84AFD">
        <w:rPr>
          <w:color w:val="000000"/>
        </w:rPr>
        <w:t xml:space="preserve">.- Ft, a </w:t>
      </w:r>
      <w:r w:rsidR="0043038C">
        <w:t xml:space="preserve">pénzmaradvány összege </w:t>
      </w:r>
      <w:r w:rsidR="0043038C" w:rsidRPr="00F8029C">
        <w:rPr>
          <w:b/>
        </w:rPr>
        <w:t>278.392.330</w:t>
      </w:r>
      <w:r w:rsidR="0043038C">
        <w:t xml:space="preserve"> Ft. </w:t>
      </w:r>
    </w:p>
    <w:p w:rsidR="002B6161" w:rsidRDefault="002B6161" w:rsidP="002B6161">
      <w:pPr>
        <w:pStyle w:val="Szvegtrzs2"/>
        <w:rPr>
          <w:szCs w:val="24"/>
          <w:highlight w:val="yellow"/>
        </w:rPr>
      </w:pPr>
    </w:p>
    <w:p w:rsidR="002B6161" w:rsidRDefault="002B6161" w:rsidP="002B6161">
      <w:pPr>
        <w:pStyle w:val="Szvegtrzs2"/>
        <w:jc w:val="both"/>
        <w:rPr>
          <w:szCs w:val="24"/>
        </w:rPr>
      </w:pPr>
      <w:r>
        <w:rPr>
          <w:szCs w:val="24"/>
        </w:rPr>
        <w:t>A kiadási jogcímek alakulását az 1. számú melléklet mutatja</w:t>
      </w:r>
      <w:r w:rsidR="00D529CC">
        <w:rPr>
          <w:szCs w:val="24"/>
        </w:rPr>
        <w:t xml:space="preserve"> be </w:t>
      </w:r>
      <w:r>
        <w:rPr>
          <w:szCs w:val="24"/>
        </w:rPr>
        <w:t xml:space="preserve">Bezenyei Községi </w:t>
      </w:r>
      <w:r w:rsidR="0089644F">
        <w:rPr>
          <w:szCs w:val="24"/>
        </w:rPr>
        <w:t>Önkormányzat vonatkozásában, a 7</w:t>
      </w:r>
      <w:r>
        <w:rPr>
          <w:szCs w:val="24"/>
        </w:rPr>
        <w:t>. számú melléklet ugyanilyen részletezésben mutatja a Bezenyei Százszorszép Óvoda kiadásait.</w:t>
      </w:r>
    </w:p>
    <w:p w:rsidR="0043038C" w:rsidRDefault="0043038C" w:rsidP="002B6161">
      <w:pPr>
        <w:pStyle w:val="Szvegtrzs2"/>
        <w:jc w:val="both"/>
        <w:rPr>
          <w:szCs w:val="24"/>
        </w:rPr>
      </w:pPr>
    </w:p>
    <w:p w:rsidR="002B6161" w:rsidRDefault="00A84AFD" w:rsidP="002B6161">
      <w:pPr>
        <w:pStyle w:val="Szvegtrzs2"/>
        <w:jc w:val="both"/>
        <w:rPr>
          <w:szCs w:val="24"/>
        </w:rPr>
      </w:pPr>
      <w:r>
        <w:rPr>
          <w:szCs w:val="24"/>
        </w:rPr>
        <w:t xml:space="preserve">Az </w:t>
      </w:r>
      <w:r w:rsidR="002B6161">
        <w:rPr>
          <w:szCs w:val="24"/>
        </w:rPr>
        <w:t>egyes tételsorok a központi adatszolgáltatási rendszernek megfelelően kerültek kialakításra (Ft-ban).</w:t>
      </w:r>
    </w:p>
    <w:p w:rsidR="002B6161" w:rsidRDefault="002B6161" w:rsidP="002B6161">
      <w:pPr>
        <w:rPr>
          <w:sz w:val="24"/>
          <w:szCs w:val="24"/>
          <w:highlight w:val="yellow"/>
          <w:u w:val="single"/>
        </w:rPr>
      </w:pPr>
    </w:p>
    <w:p w:rsidR="002B6161" w:rsidRPr="00D529CC" w:rsidRDefault="002B6161" w:rsidP="002B6161">
      <w:pPr>
        <w:jc w:val="both"/>
        <w:rPr>
          <w:b/>
          <w:i/>
          <w:sz w:val="24"/>
          <w:szCs w:val="24"/>
          <w:u w:val="single"/>
        </w:rPr>
      </w:pPr>
      <w:r w:rsidRPr="00D529CC">
        <w:rPr>
          <w:b/>
          <w:i/>
          <w:sz w:val="24"/>
          <w:szCs w:val="24"/>
          <w:u w:val="single"/>
        </w:rPr>
        <w:t>Személyi juttatások és járulékok</w:t>
      </w:r>
    </w:p>
    <w:p w:rsidR="002B6161" w:rsidRPr="00D529CC" w:rsidRDefault="002B6161" w:rsidP="002B6161">
      <w:pPr>
        <w:jc w:val="both"/>
        <w:rPr>
          <w:i/>
          <w:sz w:val="24"/>
          <w:szCs w:val="24"/>
          <w:highlight w:val="yellow"/>
        </w:rPr>
      </w:pPr>
    </w:p>
    <w:p w:rsidR="00416AF2" w:rsidRPr="00F8029C" w:rsidRDefault="002B6161" w:rsidP="002B6161">
      <w:pPr>
        <w:jc w:val="both"/>
        <w:rPr>
          <w:sz w:val="24"/>
          <w:szCs w:val="24"/>
        </w:rPr>
      </w:pPr>
      <w:r w:rsidRPr="00F8029C">
        <w:rPr>
          <w:sz w:val="24"/>
          <w:szCs w:val="24"/>
        </w:rPr>
        <w:t>A szemé</w:t>
      </w:r>
      <w:r w:rsidR="00416AF2" w:rsidRPr="00F8029C">
        <w:rPr>
          <w:sz w:val="24"/>
          <w:szCs w:val="24"/>
        </w:rPr>
        <w:t>lyi juttatások</w:t>
      </w:r>
      <w:r w:rsidR="00F8029C" w:rsidRPr="00F8029C">
        <w:rPr>
          <w:sz w:val="24"/>
          <w:szCs w:val="24"/>
        </w:rPr>
        <w:t xml:space="preserve"> tervezett előirányzata 22.556.957 Ft volt, ami 28.512.180 Ft-ra teljesült. </w:t>
      </w:r>
      <w:r w:rsidRPr="00F8029C">
        <w:rPr>
          <w:sz w:val="24"/>
          <w:szCs w:val="24"/>
        </w:rPr>
        <w:t>A járulékok</w:t>
      </w:r>
      <w:r w:rsidR="00F8029C" w:rsidRPr="00F8029C">
        <w:rPr>
          <w:sz w:val="24"/>
          <w:szCs w:val="24"/>
        </w:rPr>
        <w:t xml:space="preserve"> tervezett előirányzata 3.971.218 Ft volt, ami 4.260.257 Ft-ra teljesült - </w:t>
      </w:r>
      <w:r w:rsidRPr="00F8029C">
        <w:rPr>
          <w:sz w:val="24"/>
          <w:szCs w:val="24"/>
        </w:rPr>
        <w:t>kapcsolódva a személyi juttatásokhoz</w:t>
      </w:r>
      <w:r w:rsidR="00F8029C" w:rsidRPr="00F8029C">
        <w:rPr>
          <w:sz w:val="24"/>
          <w:szCs w:val="24"/>
        </w:rPr>
        <w:t xml:space="preserve">. </w:t>
      </w:r>
    </w:p>
    <w:p w:rsidR="00416AF2" w:rsidRPr="00F8029C" w:rsidRDefault="00416AF2" w:rsidP="002B6161">
      <w:pPr>
        <w:jc w:val="both"/>
        <w:rPr>
          <w:b/>
          <w:sz w:val="24"/>
          <w:szCs w:val="24"/>
          <w:u w:val="single"/>
        </w:rPr>
      </w:pPr>
    </w:p>
    <w:p w:rsidR="00ED1E4D" w:rsidRPr="006E504F" w:rsidRDefault="006E504F" w:rsidP="002B6161">
      <w:pPr>
        <w:jc w:val="both"/>
        <w:rPr>
          <w:b/>
          <w:i/>
          <w:sz w:val="24"/>
          <w:szCs w:val="24"/>
          <w:u w:val="single"/>
        </w:rPr>
      </w:pPr>
      <w:r w:rsidRPr="006E504F">
        <w:rPr>
          <w:b/>
          <w:i/>
          <w:sz w:val="24"/>
          <w:szCs w:val="24"/>
          <w:u w:val="single"/>
        </w:rPr>
        <w:t>Ellátottak pénzbeli juttatásai</w:t>
      </w:r>
    </w:p>
    <w:p w:rsidR="00416AF2" w:rsidRPr="006E504F" w:rsidRDefault="00416AF2" w:rsidP="002B6161">
      <w:pPr>
        <w:jc w:val="both"/>
        <w:rPr>
          <w:b/>
          <w:sz w:val="24"/>
          <w:szCs w:val="24"/>
          <w:highlight w:val="yellow"/>
          <w:u w:val="single"/>
        </w:rPr>
      </w:pPr>
    </w:p>
    <w:p w:rsidR="00F8029C" w:rsidRDefault="00F8029C" w:rsidP="00C91002">
      <w:pPr>
        <w:pStyle w:val="Szvegtrzs"/>
        <w:rPr>
          <w:szCs w:val="24"/>
        </w:rPr>
      </w:pPr>
      <w:r>
        <w:rPr>
          <w:szCs w:val="24"/>
        </w:rPr>
        <w:t>Az ellátottak pénzbeli juttatásainak tervezett összege 4.625.636 Ft volt, ami 4.2012.716 Ft-ra teljesült. Települési támogatás címén 4</w:t>
      </w:r>
      <w:r w:rsidR="00DA440A">
        <w:rPr>
          <w:szCs w:val="24"/>
        </w:rPr>
        <w:t xml:space="preserve">.208.116 Ft került kifizetésre </w:t>
      </w:r>
      <w:r>
        <w:rPr>
          <w:szCs w:val="24"/>
        </w:rPr>
        <w:t xml:space="preserve">a szociális igazgatásról és a szociális ellátásokról szóló önkormányzati rendelet alapján. </w:t>
      </w:r>
    </w:p>
    <w:p w:rsidR="00F8029C" w:rsidRDefault="00F8029C" w:rsidP="00C91002">
      <w:pPr>
        <w:pStyle w:val="Szvegtrzs"/>
        <w:rPr>
          <w:szCs w:val="24"/>
        </w:rPr>
      </w:pPr>
    </w:p>
    <w:p w:rsidR="00F8029C" w:rsidRDefault="00F8029C" w:rsidP="00F8029C">
      <w:pPr>
        <w:pStyle w:val="Szvegtrzs"/>
        <w:rPr>
          <w:szCs w:val="24"/>
        </w:rPr>
      </w:pPr>
      <w:r>
        <w:rPr>
          <w:szCs w:val="24"/>
        </w:rPr>
        <w:t xml:space="preserve">Az Önkormányzat sikeresen pályázott a Belügyminisztérium pályázatán a szociális rászorulók részére 147 q </w:t>
      </w:r>
      <w:r w:rsidR="00250D13">
        <w:rPr>
          <w:szCs w:val="24"/>
        </w:rPr>
        <w:t xml:space="preserve">barnakőszén vásárlására, ahol </w:t>
      </w:r>
      <w:r w:rsidRPr="00B72B12">
        <w:rPr>
          <w:b/>
          <w:szCs w:val="24"/>
        </w:rPr>
        <w:t>nyertünk 466.725 Ft</w:t>
      </w:r>
      <w:r>
        <w:rPr>
          <w:szCs w:val="24"/>
        </w:rPr>
        <w:t xml:space="preserve"> támogatást. </w:t>
      </w:r>
    </w:p>
    <w:p w:rsidR="00C91002" w:rsidRDefault="00250D13" w:rsidP="00C91002">
      <w:pPr>
        <w:pStyle w:val="Szvegtrzs"/>
        <w:rPr>
          <w:szCs w:val="24"/>
        </w:rPr>
      </w:pPr>
      <w:r>
        <w:rPr>
          <w:szCs w:val="24"/>
        </w:rPr>
        <w:t xml:space="preserve">A </w:t>
      </w:r>
      <w:r w:rsidR="00C91002">
        <w:rPr>
          <w:szCs w:val="24"/>
        </w:rPr>
        <w:t>szén beszerzés</w:t>
      </w:r>
      <w:r>
        <w:rPr>
          <w:szCs w:val="24"/>
        </w:rPr>
        <w:t xml:space="preserve">e összesen 674.370 Ft-ba került. </w:t>
      </w:r>
      <w:r w:rsidR="00C91002">
        <w:rPr>
          <w:szCs w:val="24"/>
        </w:rPr>
        <w:t xml:space="preserve">  21 fő részére tudtunk biztosítani 7-7 q barnakőszenet. Az Önkormányzatnak 207.645 Ft-tal kellett kie</w:t>
      </w:r>
      <w:r>
        <w:rPr>
          <w:szCs w:val="24"/>
        </w:rPr>
        <w:t xml:space="preserve">gészíteni az elnyert támogatást. </w:t>
      </w:r>
      <w:r w:rsidR="00C91002">
        <w:rPr>
          <w:szCs w:val="24"/>
        </w:rPr>
        <w:t xml:space="preserve"> </w:t>
      </w:r>
    </w:p>
    <w:p w:rsidR="002B6161" w:rsidRPr="00D529CC" w:rsidRDefault="002B6161" w:rsidP="002B6161">
      <w:pPr>
        <w:jc w:val="both"/>
        <w:rPr>
          <w:i/>
          <w:sz w:val="24"/>
          <w:szCs w:val="24"/>
          <w:highlight w:val="yellow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 w:rsidRPr="00D529CC">
        <w:rPr>
          <w:b/>
          <w:i/>
          <w:sz w:val="24"/>
          <w:szCs w:val="24"/>
          <w:u w:val="single"/>
        </w:rPr>
        <w:t>A működési célú támogatásértékű kiadások</w:t>
      </w:r>
      <w:r w:rsidRPr="00D529CC">
        <w:rPr>
          <w:i/>
          <w:sz w:val="24"/>
          <w:szCs w:val="24"/>
        </w:rPr>
        <w:t xml:space="preserve"> </w:t>
      </w:r>
      <w:r w:rsidRPr="00380123">
        <w:rPr>
          <w:sz w:val="24"/>
          <w:szCs w:val="24"/>
        </w:rPr>
        <w:t>sorában van kimutatva a Hegyeshalmi Közös Önkormányzati Hivatal részére átadandó pénzeszköz. A Hivatal folyamatos, zavartalan működése érdekében</w:t>
      </w:r>
      <w:r w:rsidR="00ED1E4D" w:rsidRPr="00380123">
        <w:rPr>
          <w:sz w:val="24"/>
          <w:szCs w:val="24"/>
        </w:rPr>
        <w:t xml:space="preserve"> összesen</w:t>
      </w:r>
      <w:r w:rsidRPr="00380123">
        <w:rPr>
          <w:sz w:val="24"/>
          <w:szCs w:val="24"/>
        </w:rPr>
        <w:t xml:space="preserve"> </w:t>
      </w:r>
      <w:r w:rsidR="00380123" w:rsidRPr="00380123">
        <w:rPr>
          <w:sz w:val="24"/>
          <w:szCs w:val="24"/>
        </w:rPr>
        <w:t>9.972.309</w:t>
      </w:r>
      <w:r w:rsidR="00DA440A">
        <w:rPr>
          <w:sz w:val="24"/>
          <w:szCs w:val="24"/>
        </w:rPr>
        <w:t xml:space="preserve"> Ft került átutalásra</w:t>
      </w:r>
      <w:r w:rsidRPr="00380123">
        <w:rPr>
          <w:sz w:val="24"/>
          <w:szCs w:val="24"/>
        </w:rPr>
        <w:t xml:space="preserve"> </w:t>
      </w:r>
      <w:r w:rsidR="00204138" w:rsidRPr="00380123">
        <w:rPr>
          <w:sz w:val="24"/>
          <w:szCs w:val="24"/>
        </w:rPr>
        <w:t>negyedéves részlet</w:t>
      </w:r>
      <w:r w:rsidR="00DA440A">
        <w:rPr>
          <w:sz w:val="24"/>
          <w:szCs w:val="24"/>
        </w:rPr>
        <w:t>ek</w:t>
      </w:r>
      <w:r w:rsidR="00204138" w:rsidRPr="00380123">
        <w:rPr>
          <w:sz w:val="24"/>
          <w:szCs w:val="24"/>
        </w:rPr>
        <w:t>ben</w:t>
      </w:r>
      <w:r w:rsidR="00204138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2B6161" w:rsidRDefault="002B6161" w:rsidP="002B6161">
      <w:pPr>
        <w:jc w:val="both"/>
        <w:rPr>
          <w:sz w:val="24"/>
          <w:szCs w:val="24"/>
          <w:highlight w:val="yellow"/>
        </w:rPr>
      </w:pPr>
    </w:p>
    <w:p w:rsidR="0049589C" w:rsidRDefault="002B6161" w:rsidP="00380123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6E504F">
        <w:rPr>
          <w:b/>
          <w:i/>
          <w:sz w:val="24"/>
          <w:szCs w:val="24"/>
          <w:u w:val="single"/>
        </w:rPr>
        <w:t xml:space="preserve">működési célú pénzeszköz </w:t>
      </w:r>
      <w:r w:rsidRPr="00380123">
        <w:rPr>
          <w:b/>
          <w:i/>
          <w:sz w:val="24"/>
          <w:szCs w:val="24"/>
        </w:rPr>
        <w:t>átadás</w:t>
      </w:r>
      <w:r w:rsidR="00380123">
        <w:rPr>
          <w:b/>
          <w:sz w:val="24"/>
          <w:szCs w:val="24"/>
        </w:rPr>
        <w:t xml:space="preserve"> </w:t>
      </w:r>
      <w:r w:rsidRPr="00380123">
        <w:rPr>
          <w:sz w:val="24"/>
          <w:szCs w:val="24"/>
        </w:rPr>
        <w:t>keretében</w:t>
      </w:r>
      <w:r>
        <w:rPr>
          <w:sz w:val="24"/>
          <w:szCs w:val="24"/>
        </w:rPr>
        <w:t xml:space="preserve"> a Bezenyei Sportegyesület létesítményének fenntartásán és üzemeltetésén felül 400.</w:t>
      </w:r>
      <w:r w:rsidR="00786AA8">
        <w:rPr>
          <w:sz w:val="24"/>
          <w:szCs w:val="24"/>
        </w:rPr>
        <w:t>000 Ft támogatást biztosított az Önkormányzat</w:t>
      </w:r>
      <w:r w:rsidR="00380123">
        <w:rPr>
          <w:sz w:val="24"/>
          <w:szCs w:val="24"/>
        </w:rPr>
        <w:t xml:space="preserve"> </w:t>
      </w:r>
      <w:r w:rsidR="00380123" w:rsidRPr="00380123">
        <w:rPr>
          <w:sz w:val="24"/>
          <w:szCs w:val="24"/>
        </w:rPr>
        <w:t>a Bezenyei Sportegyesület 1938262179 projekt azonosítójú pályázatához önrész biztosítása, valamint a sporte</w:t>
      </w:r>
      <w:r w:rsidR="00380123">
        <w:rPr>
          <w:sz w:val="24"/>
          <w:szCs w:val="24"/>
        </w:rPr>
        <w:t>gyesület működésének támogatása címén. E</w:t>
      </w:r>
      <w:r w:rsidR="00786AA8">
        <w:rPr>
          <w:sz w:val="24"/>
          <w:szCs w:val="24"/>
        </w:rPr>
        <w:t xml:space="preserve">zen felül pedig </w:t>
      </w:r>
      <w:r w:rsidR="001857D9">
        <w:rPr>
          <w:sz w:val="24"/>
          <w:szCs w:val="24"/>
        </w:rPr>
        <w:t>a sportegyesület működésének támogatására további 1 millió forintot</w:t>
      </w:r>
      <w:r w:rsidR="00407F17">
        <w:rPr>
          <w:sz w:val="24"/>
          <w:szCs w:val="24"/>
        </w:rPr>
        <w:t xml:space="preserve"> biztosított az Önkormányzat.</w:t>
      </w:r>
      <w:r w:rsidR="001857D9">
        <w:rPr>
          <w:sz w:val="24"/>
          <w:szCs w:val="24"/>
        </w:rPr>
        <w:t xml:space="preserve"> </w:t>
      </w:r>
    </w:p>
    <w:p w:rsidR="001857D9" w:rsidRDefault="001857D9" w:rsidP="0038012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Sportegyesület gépbeszerzési pályázatához 1.899.999 Ft kölcsönt adott a képviselő-testület. </w:t>
      </w:r>
      <w:r w:rsidR="002B6161">
        <w:rPr>
          <w:sz w:val="24"/>
          <w:szCs w:val="24"/>
        </w:rPr>
        <w:t xml:space="preserve"> </w:t>
      </w:r>
    </w:p>
    <w:p w:rsidR="001857D9" w:rsidRDefault="001857D9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éves sportnap megrendezését is támogatta az Önkormányzat 100.000.- Ft-tal. </w:t>
      </w:r>
    </w:p>
    <w:p w:rsidR="001857D9" w:rsidRDefault="001857D9" w:rsidP="002B6161">
      <w:pPr>
        <w:jc w:val="both"/>
        <w:rPr>
          <w:sz w:val="24"/>
          <w:szCs w:val="24"/>
        </w:rPr>
      </w:pPr>
    </w:p>
    <w:p w:rsidR="001857D9" w:rsidRDefault="001857D9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Papréti Nőegylet által szervezett </w:t>
      </w:r>
      <w:r w:rsidR="004F4BF4">
        <w:rPr>
          <w:sz w:val="24"/>
          <w:szCs w:val="24"/>
        </w:rPr>
        <w:t xml:space="preserve">papréti </w:t>
      </w:r>
      <w:r>
        <w:rPr>
          <w:sz w:val="24"/>
          <w:szCs w:val="24"/>
        </w:rPr>
        <w:t xml:space="preserve">búcsú megrendezését 60.000 Ft-tal támogatta az Önkormányzat. </w:t>
      </w:r>
    </w:p>
    <w:p w:rsidR="002B6161" w:rsidRPr="00407F17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Megfizetésre került a Mosonmagyaróvári Kistérségi Társulás részére a 2019. II. félévi tagdíj, </w:t>
      </w:r>
      <w:r w:rsidRPr="00407F17">
        <w:rPr>
          <w:sz w:val="24"/>
          <w:szCs w:val="24"/>
        </w:rPr>
        <w:t>valamint a 2020. évi tagdíj,</w:t>
      </w:r>
      <w:r w:rsidR="00407F17" w:rsidRPr="00407F17">
        <w:rPr>
          <w:sz w:val="24"/>
          <w:szCs w:val="24"/>
        </w:rPr>
        <w:t xml:space="preserve"> ami3.679.614</w:t>
      </w:r>
      <w:r w:rsidR="001857D9" w:rsidRPr="00407F17">
        <w:rPr>
          <w:sz w:val="24"/>
          <w:szCs w:val="24"/>
        </w:rPr>
        <w:t xml:space="preserve"> Ft volt, a Hoc Pice Ház működését pedig 929.752 Ft-tal támogattuk. </w:t>
      </w:r>
    </w:p>
    <w:p w:rsidR="001857D9" w:rsidRPr="00407F17" w:rsidRDefault="001857D9" w:rsidP="002B6161">
      <w:pPr>
        <w:jc w:val="both"/>
        <w:rPr>
          <w:sz w:val="24"/>
          <w:szCs w:val="24"/>
        </w:rPr>
      </w:pPr>
    </w:p>
    <w:p w:rsidR="002B6161" w:rsidRPr="00407F17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 Magyar Államkincstár részére megfizetése került</w:t>
      </w:r>
      <w:r w:rsidR="00407F17">
        <w:rPr>
          <w:sz w:val="24"/>
          <w:szCs w:val="24"/>
        </w:rPr>
        <w:t xml:space="preserve"> összesen </w:t>
      </w:r>
      <w:r w:rsidR="00407F17" w:rsidRPr="000001A4">
        <w:rPr>
          <w:b/>
          <w:sz w:val="24"/>
          <w:szCs w:val="24"/>
        </w:rPr>
        <w:t>16.123.962 Ft</w:t>
      </w:r>
      <w:r w:rsidR="00407F17">
        <w:rPr>
          <w:sz w:val="24"/>
          <w:szCs w:val="24"/>
        </w:rPr>
        <w:t>, amiből</w:t>
      </w:r>
      <w:r>
        <w:rPr>
          <w:sz w:val="24"/>
          <w:szCs w:val="24"/>
        </w:rPr>
        <w:t xml:space="preserve"> a 2018. évi szociális normatíva </w:t>
      </w:r>
      <w:r w:rsidR="00407F17">
        <w:rPr>
          <w:sz w:val="24"/>
          <w:szCs w:val="24"/>
        </w:rPr>
        <w:t xml:space="preserve">7.007.950 Ft + 202.366 Ft kamata. A 2019. évi normatíva 8.226.464 Ft + kamat 118.094 Ft, valamint </w:t>
      </w:r>
      <w:r w:rsidR="00407F17" w:rsidRPr="00407F17">
        <w:rPr>
          <w:sz w:val="24"/>
          <w:szCs w:val="24"/>
        </w:rPr>
        <w:t>a téli rezsicsökkentésben korábban nem részesült, a vezetékes gáz- vagy távfűtéstől eltérő fűtőanyagot felhasználó háztartások egyszeri támogatása keretében</w:t>
      </w:r>
      <w:r w:rsidR="00407F17">
        <w:rPr>
          <w:sz w:val="24"/>
          <w:szCs w:val="24"/>
        </w:rPr>
        <w:t xml:space="preserve"> 2019. decemberig fel nem használt összege, ami 484.775 Ft + 84.313 Ft kamata. </w:t>
      </w:r>
    </w:p>
    <w:p w:rsidR="00D60B9C" w:rsidRDefault="00D60B9C" w:rsidP="002B6161">
      <w:pPr>
        <w:jc w:val="both"/>
        <w:rPr>
          <w:b/>
          <w:i/>
          <w:sz w:val="24"/>
          <w:szCs w:val="24"/>
          <w:u w:val="single"/>
        </w:rPr>
      </w:pPr>
    </w:p>
    <w:p w:rsidR="002B6161" w:rsidRDefault="006E504F" w:rsidP="002B6161">
      <w:pPr>
        <w:jc w:val="both"/>
        <w:rPr>
          <w:sz w:val="24"/>
          <w:szCs w:val="24"/>
        </w:rPr>
      </w:pPr>
      <w:r w:rsidRPr="00D529CC">
        <w:rPr>
          <w:b/>
          <w:i/>
          <w:sz w:val="24"/>
          <w:szCs w:val="24"/>
          <w:u w:val="single"/>
        </w:rPr>
        <w:t>A beruházási és felújítási kiadások</w:t>
      </w:r>
    </w:p>
    <w:p w:rsidR="00D60B9C" w:rsidRDefault="00D60B9C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Jelentős kiadás volt a közvilágítás rekonstrukciój</w:t>
      </w:r>
      <w:r w:rsidR="00D60B9C">
        <w:rPr>
          <w:sz w:val="24"/>
          <w:szCs w:val="24"/>
        </w:rPr>
        <w:t>ára kifizetett összeg, 9.918.940</w:t>
      </w:r>
      <w:r>
        <w:rPr>
          <w:sz w:val="24"/>
          <w:szCs w:val="24"/>
        </w:rPr>
        <w:t xml:space="preserve"> Ft, valamint a fűtési rendszer felújítására kifizetett </w:t>
      </w:r>
      <w:r w:rsidR="00D60B9C">
        <w:rPr>
          <w:sz w:val="24"/>
          <w:szCs w:val="24"/>
        </w:rPr>
        <w:t xml:space="preserve">3.670.404 </w:t>
      </w:r>
      <w:r>
        <w:rPr>
          <w:sz w:val="24"/>
          <w:szCs w:val="24"/>
        </w:rPr>
        <w:t xml:space="preserve">Ft. </w:t>
      </w:r>
    </w:p>
    <w:p w:rsidR="00D60B9C" w:rsidRPr="000E4D14" w:rsidRDefault="00D60B9C" w:rsidP="00D60B9C">
      <w:pPr>
        <w:jc w:val="both"/>
        <w:rPr>
          <w:sz w:val="24"/>
          <w:szCs w:val="24"/>
        </w:rPr>
      </w:pPr>
      <w:r w:rsidRPr="000E4D14">
        <w:rPr>
          <w:sz w:val="24"/>
          <w:szCs w:val="24"/>
        </w:rPr>
        <w:t>1 db fűkasza vásárlására került sor, 234.550 Ft összegben.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D60B9C" w:rsidRDefault="00D60B9C" w:rsidP="00D60B9C">
      <w:pPr>
        <w:pStyle w:val="Szvegtrzs"/>
        <w:rPr>
          <w:szCs w:val="24"/>
        </w:rPr>
      </w:pPr>
      <w:r>
        <w:rPr>
          <w:szCs w:val="24"/>
        </w:rPr>
        <w:t>A Magyar Falu Programban</w:t>
      </w:r>
      <w:r w:rsidRPr="00D60B9C">
        <w:rPr>
          <w:szCs w:val="24"/>
        </w:rPr>
        <w:t xml:space="preserve"> </w:t>
      </w:r>
      <w:r>
        <w:rPr>
          <w:szCs w:val="24"/>
        </w:rPr>
        <w:t>orvosi gép, műszer beszerzésre (magzati szívhangvizsgáló, hallásvizsgáló készülék, EKG készülék és laptop)</w:t>
      </w:r>
      <w:r>
        <w:rPr>
          <w:szCs w:val="24"/>
        </w:rPr>
        <w:tab/>
      </w:r>
      <w:r>
        <w:rPr>
          <w:b/>
          <w:szCs w:val="24"/>
        </w:rPr>
        <w:t>1.1.41.297 Ft</w:t>
      </w:r>
      <w:r>
        <w:rPr>
          <w:szCs w:val="24"/>
        </w:rPr>
        <w:t xml:space="preserve"> értékben beszerzésre került.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pályázat elszámolása megtörtént. </w:t>
      </w:r>
    </w:p>
    <w:p w:rsidR="00D60B9C" w:rsidRDefault="00D60B9C" w:rsidP="002B6161">
      <w:pPr>
        <w:jc w:val="both"/>
        <w:rPr>
          <w:sz w:val="24"/>
          <w:szCs w:val="24"/>
        </w:rPr>
      </w:pPr>
    </w:p>
    <w:p w:rsidR="00D60B9C" w:rsidRDefault="00D60B9C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 papréti művelődési ház festéséhez biztosítottuk az anyagot. Sor került a parketta felújítására, csiszolására, ami 351.890</w:t>
      </w:r>
      <w:r w:rsidR="007F6B8C">
        <w:rPr>
          <w:sz w:val="24"/>
          <w:szCs w:val="24"/>
        </w:rPr>
        <w:t xml:space="preserve"> Ft-ba került</w:t>
      </w:r>
      <w:r>
        <w:rPr>
          <w:sz w:val="24"/>
          <w:szCs w:val="24"/>
        </w:rPr>
        <w:t>.</w:t>
      </w:r>
    </w:p>
    <w:p w:rsidR="00D60B9C" w:rsidRDefault="00D60B9C" w:rsidP="002B6161">
      <w:pPr>
        <w:jc w:val="both"/>
        <w:rPr>
          <w:sz w:val="24"/>
          <w:szCs w:val="24"/>
        </w:rPr>
      </w:pPr>
    </w:p>
    <w:p w:rsidR="00A0404C" w:rsidRDefault="00A0404C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költségvetésében legnagyobb kiadást jelentette,</w:t>
      </w:r>
      <w:r w:rsidR="00085990">
        <w:rPr>
          <w:sz w:val="24"/>
          <w:szCs w:val="24"/>
        </w:rPr>
        <w:t xml:space="preserve"> az előző önkormányzat által ki nem fizetett számlák rendezése </w:t>
      </w:r>
      <w:bookmarkStart w:id="0" w:name="_GoBack"/>
      <w:r w:rsidR="00085990" w:rsidRPr="00476324">
        <w:rPr>
          <w:b/>
          <w:sz w:val="24"/>
          <w:szCs w:val="24"/>
        </w:rPr>
        <w:t xml:space="preserve">a Makadám Kft. felé. </w:t>
      </w:r>
      <w:r w:rsidR="005755FF" w:rsidRPr="00476324">
        <w:rPr>
          <w:b/>
          <w:sz w:val="24"/>
          <w:szCs w:val="24"/>
        </w:rPr>
        <w:t>50.660.480 Ft</w:t>
      </w:r>
      <w:r w:rsidR="005755FF">
        <w:rPr>
          <w:sz w:val="24"/>
          <w:szCs w:val="24"/>
        </w:rPr>
        <w:t xml:space="preserve"> </w:t>
      </w:r>
      <w:bookmarkEnd w:id="0"/>
      <w:r w:rsidR="005755FF">
        <w:rPr>
          <w:sz w:val="24"/>
          <w:szCs w:val="24"/>
        </w:rPr>
        <w:t xml:space="preserve">került kifizetésre, amely magában foglalja a számlák összegét, a megállapodás alapján viselt perköltség és késedelmi kamat összegét, valamint a fordított ÁFA fizetési kötelezettségből eredő összeget. </w:t>
      </w:r>
    </w:p>
    <w:p w:rsidR="005755FF" w:rsidRDefault="005755FF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könyvelési feladatait a múlt évben a Magyar Közigazgatási </w:t>
      </w:r>
      <w:proofErr w:type="spellStart"/>
      <w:r>
        <w:rPr>
          <w:sz w:val="24"/>
          <w:szCs w:val="24"/>
        </w:rPr>
        <w:t>Zrt</w:t>
      </w:r>
      <w:proofErr w:type="spellEnd"/>
      <w:r>
        <w:rPr>
          <w:sz w:val="24"/>
          <w:szCs w:val="24"/>
        </w:rPr>
        <w:t xml:space="preserve">. végezte. A szerződést a képviselő-testület felmondta. A szerződés felmondásából eredő kötelezettségekre és a 2019. költségvetési év zárására és a mérleg elkészítésére mindösszesen 1.892.300 Ft-ot fizettünk ki. </w:t>
      </w:r>
    </w:p>
    <w:p w:rsidR="002B6161" w:rsidRDefault="002B6161" w:rsidP="002B6161">
      <w:pPr>
        <w:jc w:val="both"/>
        <w:rPr>
          <w:sz w:val="24"/>
          <w:szCs w:val="24"/>
          <w:highlight w:val="yellow"/>
        </w:rPr>
      </w:pPr>
    </w:p>
    <w:p w:rsidR="00786AA8" w:rsidRDefault="00A0404C" w:rsidP="002B6161">
      <w:pPr>
        <w:jc w:val="both"/>
        <w:rPr>
          <w:sz w:val="24"/>
          <w:szCs w:val="24"/>
        </w:rPr>
      </w:pPr>
      <w:r w:rsidRPr="00A0404C">
        <w:rPr>
          <w:sz w:val="24"/>
          <w:szCs w:val="24"/>
        </w:rPr>
        <w:t xml:space="preserve">Az Önkormányzat rendeletet alkotott </w:t>
      </w:r>
      <w:r>
        <w:rPr>
          <w:sz w:val="24"/>
          <w:szCs w:val="24"/>
        </w:rPr>
        <w:t>a Bezenye díszpolgára és a Bezenyéért kitüntető címek adományozásáról. A rendeletnek megfelelően elkészítettük az emlékérmeket, valamint vásároltunk hozzá díszdobozokat, ami 176.530 Ft-ba kerültek.</w:t>
      </w:r>
    </w:p>
    <w:p w:rsidR="00A0404C" w:rsidRDefault="00A0404C" w:rsidP="002B6161">
      <w:pPr>
        <w:jc w:val="both"/>
        <w:rPr>
          <w:sz w:val="24"/>
          <w:szCs w:val="24"/>
        </w:rPr>
      </w:pPr>
    </w:p>
    <w:p w:rsidR="005755FF" w:rsidRDefault="005755FF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2020. évre normatíva visszafizetési kötelezettsége az Önkormányzatnak 3.086.453 Ft volt, ami visszafizetésre került a 2020. évi beszámoló elkészítésének határidejéig (2021-ben).</w:t>
      </w:r>
    </w:p>
    <w:p w:rsidR="005755FF" w:rsidRDefault="005755FF" w:rsidP="002B6161">
      <w:pPr>
        <w:jc w:val="both"/>
        <w:rPr>
          <w:sz w:val="24"/>
          <w:szCs w:val="24"/>
        </w:rPr>
      </w:pPr>
    </w:p>
    <w:p w:rsidR="009D4880" w:rsidRDefault="009D4880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2020. évben 19 millió forint folyószámlahitellel számolt. A folyószámlahitel szeptember 30-ig állt rendelkezésre, igénybevételre nem került sor.</w:t>
      </w:r>
    </w:p>
    <w:p w:rsidR="009D4880" w:rsidRDefault="009D4880" w:rsidP="002B6161">
      <w:pPr>
        <w:jc w:val="both"/>
        <w:rPr>
          <w:sz w:val="24"/>
          <w:szCs w:val="24"/>
        </w:rPr>
      </w:pPr>
    </w:p>
    <w:p w:rsidR="00DA440A" w:rsidRPr="00DA440A" w:rsidRDefault="009D4880" w:rsidP="00DA440A">
      <w:pPr>
        <w:jc w:val="both"/>
        <w:rPr>
          <w:sz w:val="24"/>
          <w:szCs w:val="24"/>
        </w:rPr>
      </w:pPr>
      <w:r w:rsidRPr="00DA440A">
        <w:rPr>
          <w:sz w:val="24"/>
          <w:szCs w:val="24"/>
        </w:rPr>
        <w:t xml:space="preserve">A </w:t>
      </w:r>
      <w:r w:rsidR="00DA440A">
        <w:rPr>
          <w:sz w:val="24"/>
          <w:szCs w:val="24"/>
        </w:rPr>
        <w:t>Képviselő-testület 59/2020.(VI.30.) határozatával</w:t>
      </w:r>
      <w:r w:rsidR="00DA440A" w:rsidRPr="00DA440A">
        <w:rPr>
          <w:sz w:val="24"/>
          <w:szCs w:val="24"/>
        </w:rPr>
        <w:t xml:space="preserve"> a Bezenye</w:t>
      </w:r>
      <w:r w:rsidR="001F0659">
        <w:rPr>
          <w:sz w:val="24"/>
          <w:szCs w:val="24"/>
        </w:rPr>
        <w:t>i</w:t>
      </w:r>
      <w:r w:rsidR="00DA440A" w:rsidRPr="00DA440A">
        <w:rPr>
          <w:sz w:val="24"/>
          <w:szCs w:val="24"/>
        </w:rPr>
        <w:t xml:space="preserve"> Sportegyesületnek a 1938262179 iratazonosító számú pályázatban szerepelő eszközök megvásárlásár</w:t>
      </w:r>
      <w:r w:rsidR="00DA440A">
        <w:rPr>
          <w:sz w:val="24"/>
          <w:szCs w:val="24"/>
        </w:rPr>
        <w:t>a 1.899.999.- Ft-ot megelőlegezett. Erre vonatkozóan megkötésre került a kölcsönszerződés.</w:t>
      </w:r>
      <w:r w:rsidR="00DA440A" w:rsidRPr="00DA440A">
        <w:rPr>
          <w:sz w:val="24"/>
          <w:szCs w:val="24"/>
        </w:rPr>
        <w:t xml:space="preserve"> </w:t>
      </w:r>
      <w:r w:rsidR="001F0659">
        <w:rPr>
          <w:sz w:val="24"/>
          <w:szCs w:val="24"/>
        </w:rPr>
        <w:t xml:space="preserve"> 2020-ban a pályázat elszámolása </w:t>
      </w:r>
      <w:r w:rsidR="00A85506">
        <w:rPr>
          <w:sz w:val="24"/>
          <w:szCs w:val="24"/>
        </w:rPr>
        <w:t>megtörtént, sajnos azonban a</w:t>
      </w:r>
      <w:r w:rsidR="00DA440A">
        <w:rPr>
          <w:sz w:val="24"/>
          <w:szCs w:val="24"/>
        </w:rPr>
        <w:t>z Egyesület részére nem érkezett meg a támogatás</w:t>
      </w:r>
      <w:r w:rsidR="001F0659">
        <w:rPr>
          <w:sz w:val="24"/>
          <w:szCs w:val="24"/>
        </w:rPr>
        <w:t xml:space="preserve"> 2020-ban</w:t>
      </w:r>
      <w:r w:rsidR="00DA440A">
        <w:rPr>
          <w:sz w:val="24"/>
          <w:szCs w:val="24"/>
        </w:rPr>
        <w:t>, így azt visszafizetni nem tudták.</w:t>
      </w:r>
    </w:p>
    <w:p w:rsidR="009D4880" w:rsidRPr="00A0404C" w:rsidRDefault="009D4880" w:rsidP="002B6161">
      <w:pPr>
        <w:jc w:val="both"/>
        <w:rPr>
          <w:sz w:val="24"/>
          <w:szCs w:val="24"/>
        </w:rPr>
      </w:pPr>
    </w:p>
    <w:p w:rsidR="002B6161" w:rsidRDefault="00B72B12" w:rsidP="002B6161">
      <w:pPr>
        <w:jc w:val="both"/>
        <w:rPr>
          <w:b/>
          <w:sz w:val="24"/>
          <w:szCs w:val="24"/>
          <w:highlight w:val="yellow"/>
          <w:u w:val="single"/>
        </w:rPr>
      </w:pPr>
      <w:r>
        <w:rPr>
          <w:color w:val="000000"/>
          <w:sz w:val="24"/>
          <w:szCs w:val="24"/>
        </w:rPr>
        <w:t>A</w:t>
      </w:r>
      <w:r w:rsidR="002B6161">
        <w:rPr>
          <w:b/>
          <w:color w:val="000000"/>
          <w:sz w:val="24"/>
          <w:szCs w:val="24"/>
        </w:rPr>
        <w:t xml:space="preserve"> </w:t>
      </w:r>
      <w:r w:rsidR="002B6161">
        <w:rPr>
          <w:color w:val="000000"/>
          <w:sz w:val="24"/>
          <w:szCs w:val="24"/>
        </w:rPr>
        <w:t xml:space="preserve">beszámolóban hiteles és reális képet kívántunk adni a vállalt feladatok teljesítéséről, a pénzügyi helyzetet alakító tényezőkről. </w:t>
      </w:r>
    </w:p>
    <w:p w:rsidR="006716E8" w:rsidRDefault="006716E8" w:rsidP="002B6161">
      <w:pPr>
        <w:jc w:val="both"/>
        <w:rPr>
          <w:sz w:val="24"/>
          <w:szCs w:val="24"/>
        </w:rPr>
      </w:pPr>
    </w:p>
    <w:p w:rsidR="006716E8" w:rsidRDefault="006716E8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>Bezenye, 202</w:t>
      </w:r>
      <w:r w:rsidR="00B72B12">
        <w:rPr>
          <w:sz w:val="24"/>
          <w:szCs w:val="24"/>
        </w:rPr>
        <w:t>1.</w:t>
      </w:r>
      <w:r w:rsidR="004B50C7">
        <w:rPr>
          <w:sz w:val="24"/>
          <w:szCs w:val="24"/>
        </w:rPr>
        <w:t xml:space="preserve"> május 25</w:t>
      </w:r>
      <w:r w:rsidR="005755FF">
        <w:rPr>
          <w:sz w:val="24"/>
          <w:szCs w:val="24"/>
        </w:rPr>
        <w:t>.</w:t>
      </w:r>
    </w:p>
    <w:p w:rsidR="002B6161" w:rsidRDefault="002B6161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</w:p>
    <w:p w:rsidR="005D6267" w:rsidRDefault="005D6267" w:rsidP="002B6161">
      <w:pPr>
        <w:jc w:val="both"/>
        <w:rPr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Márkus Erika s.k.</w:t>
      </w:r>
    </w:p>
    <w:p w:rsidR="002B6161" w:rsidRDefault="002B6161" w:rsidP="002B6161">
      <w:pPr>
        <w:ind w:left="48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2B6161" w:rsidRDefault="002B6161" w:rsidP="002B6161">
      <w:pPr>
        <w:jc w:val="both"/>
        <w:rPr>
          <w:b/>
          <w:sz w:val="24"/>
          <w:szCs w:val="24"/>
        </w:rPr>
      </w:pPr>
    </w:p>
    <w:p w:rsidR="002B6161" w:rsidRDefault="002B6161" w:rsidP="002B6161">
      <w:pPr>
        <w:jc w:val="both"/>
        <w:rPr>
          <w:sz w:val="24"/>
          <w:szCs w:val="24"/>
        </w:rPr>
      </w:pPr>
    </w:p>
    <w:p w:rsidR="00865EAA" w:rsidRPr="002B6161" w:rsidRDefault="00865EAA" w:rsidP="002B6161"/>
    <w:sectPr w:rsidR="00865EAA" w:rsidRPr="002B6161" w:rsidSect="0016754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41" w:rsidRDefault="00167541" w:rsidP="00167541">
      <w:r>
        <w:separator/>
      </w:r>
    </w:p>
  </w:endnote>
  <w:endnote w:type="continuationSeparator" w:id="0">
    <w:p w:rsidR="00167541" w:rsidRDefault="00167541" w:rsidP="0016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816221"/>
      <w:docPartObj>
        <w:docPartGallery w:val="Page Numbers (Bottom of Page)"/>
        <w:docPartUnique/>
      </w:docPartObj>
    </w:sdtPr>
    <w:sdtEndPr/>
    <w:sdtContent>
      <w:p w:rsidR="00167541" w:rsidRDefault="001675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324">
          <w:rPr>
            <w:noProof/>
          </w:rPr>
          <w:t>7</w:t>
        </w:r>
        <w:r>
          <w:fldChar w:fldCharType="end"/>
        </w:r>
      </w:p>
    </w:sdtContent>
  </w:sdt>
  <w:p w:rsidR="00167541" w:rsidRDefault="001675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41" w:rsidRDefault="00167541" w:rsidP="00167541">
      <w:r>
        <w:separator/>
      </w:r>
    </w:p>
  </w:footnote>
  <w:footnote w:type="continuationSeparator" w:id="0">
    <w:p w:rsidR="00167541" w:rsidRDefault="00167541" w:rsidP="0016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5620"/>
    <w:multiLevelType w:val="hybridMultilevel"/>
    <w:tmpl w:val="CE1E12F0"/>
    <w:lvl w:ilvl="0" w:tplc="6770B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61"/>
    <w:rsid w:val="000001A4"/>
    <w:rsid w:val="00085990"/>
    <w:rsid w:val="00167541"/>
    <w:rsid w:val="001857D9"/>
    <w:rsid w:val="001C6C5B"/>
    <w:rsid w:val="001F0659"/>
    <w:rsid w:val="00204138"/>
    <w:rsid w:val="00250D13"/>
    <w:rsid w:val="002628B8"/>
    <w:rsid w:val="002B6161"/>
    <w:rsid w:val="002E4036"/>
    <w:rsid w:val="00380123"/>
    <w:rsid w:val="00407F17"/>
    <w:rsid w:val="00416AF2"/>
    <w:rsid w:val="00427345"/>
    <w:rsid w:val="0043038C"/>
    <w:rsid w:val="004303EC"/>
    <w:rsid w:val="00476324"/>
    <w:rsid w:val="0049589C"/>
    <w:rsid w:val="004B50C7"/>
    <w:rsid w:val="004F4BF4"/>
    <w:rsid w:val="0054777D"/>
    <w:rsid w:val="005755FF"/>
    <w:rsid w:val="005D6267"/>
    <w:rsid w:val="0062018B"/>
    <w:rsid w:val="006716E8"/>
    <w:rsid w:val="00677E45"/>
    <w:rsid w:val="006E504F"/>
    <w:rsid w:val="00786AA8"/>
    <w:rsid w:val="007B2903"/>
    <w:rsid w:val="007F6B8C"/>
    <w:rsid w:val="008258EB"/>
    <w:rsid w:val="00865EAA"/>
    <w:rsid w:val="0089644F"/>
    <w:rsid w:val="00906E56"/>
    <w:rsid w:val="00906E7B"/>
    <w:rsid w:val="0097140B"/>
    <w:rsid w:val="009D4880"/>
    <w:rsid w:val="00A0404C"/>
    <w:rsid w:val="00A10073"/>
    <w:rsid w:val="00A27F67"/>
    <w:rsid w:val="00A84AFD"/>
    <w:rsid w:val="00A85506"/>
    <w:rsid w:val="00AC38AC"/>
    <w:rsid w:val="00B72B12"/>
    <w:rsid w:val="00C91002"/>
    <w:rsid w:val="00CB0803"/>
    <w:rsid w:val="00D529CC"/>
    <w:rsid w:val="00D60B9C"/>
    <w:rsid w:val="00DA440A"/>
    <w:rsid w:val="00ED1E4D"/>
    <w:rsid w:val="00EE1669"/>
    <w:rsid w:val="00F7569D"/>
    <w:rsid w:val="00F8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ACE47-8727-4B64-BBA3-B2745D5C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161"/>
    <w:pPr>
      <w:jc w:val="left"/>
    </w:pPr>
    <w:rPr>
      <w:rFonts w:eastAsia="Times New Roman"/>
      <w:sz w:val="20"/>
      <w:szCs w:val="20"/>
      <w:u w:val="none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B6161"/>
    <w:pPr>
      <w:keepNext/>
      <w:jc w:val="center"/>
      <w:outlineLvl w:val="0"/>
    </w:pPr>
    <w:rPr>
      <w:sz w:val="24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2B61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B6161"/>
    <w:rPr>
      <w:rFonts w:eastAsia="Times New Roman"/>
      <w:szCs w:val="20"/>
      <w:u w:val="none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2B6161"/>
    <w:rPr>
      <w:rFonts w:ascii="Arial" w:eastAsia="Times New Roman" w:hAnsi="Arial" w:cs="Arial"/>
      <w:sz w:val="22"/>
      <w:szCs w:val="22"/>
      <w:u w:val="non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2B616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B6161"/>
    <w:rPr>
      <w:rFonts w:eastAsia="Times New Roman"/>
      <w:szCs w:val="20"/>
      <w:u w:val="none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B6161"/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B6161"/>
    <w:rPr>
      <w:rFonts w:eastAsia="Times New Roman"/>
      <w:szCs w:val="20"/>
      <w:u w:val="none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2B6161"/>
  </w:style>
  <w:style w:type="paragraph" w:styleId="Listaszerbekezds">
    <w:name w:val="List Paragraph"/>
    <w:basedOn w:val="Norml"/>
    <w:link w:val="ListaszerbekezdsChar"/>
    <w:uiPriority w:val="99"/>
    <w:qFormat/>
    <w:rsid w:val="002B6161"/>
    <w:pPr>
      <w:ind w:left="720"/>
      <w:contextualSpacing/>
    </w:pPr>
    <w:rPr>
      <w:rFonts w:eastAsiaTheme="minorHAnsi"/>
      <w:sz w:val="24"/>
      <w:szCs w:val="24"/>
      <w:u w:val="single"/>
      <w:lang w:eastAsia="en-US"/>
    </w:rPr>
  </w:style>
  <w:style w:type="character" w:customStyle="1" w:styleId="Norml1">
    <w:name w:val="Normál1"/>
    <w:basedOn w:val="Bekezdsalapbettpusa"/>
    <w:uiPriority w:val="99"/>
    <w:rsid w:val="002B6161"/>
    <w:rPr>
      <w:rFonts w:ascii="Times New Roman" w:hAnsi="Times New Roman" w:cs="Times New Roman" w:hint="default"/>
    </w:rPr>
  </w:style>
  <w:style w:type="character" w:customStyle="1" w:styleId="bold">
    <w:name w:val="bold"/>
    <w:basedOn w:val="Bekezdsalapbettpusa"/>
    <w:uiPriority w:val="99"/>
    <w:rsid w:val="002B6161"/>
    <w:rPr>
      <w:rFonts w:ascii="Times New Roman" w:hAnsi="Times New Roman" w:cs="Times New Roman" w:hint="default"/>
    </w:rPr>
  </w:style>
  <w:style w:type="character" w:customStyle="1" w:styleId="Norml2">
    <w:name w:val="Normál2"/>
    <w:basedOn w:val="Bekezdsalapbettpusa"/>
    <w:rsid w:val="002B6161"/>
  </w:style>
  <w:style w:type="table" w:styleId="Rcsostblzat">
    <w:name w:val="Table Grid"/>
    <w:basedOn w:val="Normltblzat"/>
    <w:uiPriority w:val="59"/>
    <w:rsid w:val="002B6161"/>
    <w:pPr>
      <w:jc w:val="left"/>
    </w:pPr>
    <w:rPr>
      <w:rFonts w:asciiTheme="minorHAnsi" w:hAnsiTheme="minorHAnsi" w:cstheme="minorBidi"/>
      <w:sz w:val="22"/>
      <w:szCs w:val="22"/>
      <w:u w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50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504F"/>
    <w:rPr>
      <w:rFonts w:ascii="Segoe UI" w:eastAsia="Times New Roman" w:hAnsi="Segoe UI" w:cs="Segoe UI"/>
      <w:sz w:val="18"/>
      <w:szCs w:val="18"/>
      <w:u w:val="none"/>
      <w:lang w:eastAsia="hu-HU"/>
    </w:rPr>
  </w:style>
  <w:style w:type="paragraph" w:styleId="NormlWeb">
    <w:name w:val="Normal (Web)"/>
    <w:basedOn w:val="Norml"/>
    <w:uiPriority w:val="99"/>
    <w:unhideWhenUsed/>
    <w:rsid w:val="00A84AFD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675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67541"/>
    <w:rPr>
      <w:rFonts w:eastAsia="Times New Roman"/>
      <w:sz w:val="20"/>
      <w:szCs w:val="20"/>
      <w:u w:val="none"/>
      <w:lang w:eastAsia="hu-HU"/>
    </w:rPr>
  </w:style>
  <w:style w:type="paragraph" w:styleId="llb">
    <w:name w:val="footer"/>
    <w:basedOn w:val="Norml"/>
    <w:link w:val="llbChar"/>
    <w:uiPriority w:val="99"/>
    <w:unhideWhenUsed/>
    <w:rsid w:val="001675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67541"/>
    <w:rPr>
      <w:rFonts w:eastAsia="Times New Roman"/>
      <w:sz w:val="20"/>
      <w:szCs w:val="20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2003</Words>
  <Characters>13827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18</cp:revision>
  <cp:lastPrinted>2021-05-14T11:47:00Z</cp:lastPrinted>
  <dcterms:created xsi:type="dcterms:W3CDTF">2021-05-14T14:25:00Z</dcterms:created>
  <dcterms:modified xsi:type="dcterms:W3CDTF">2021-05-27T11:25:00Z</dcterms:modified>
</cp:coreProperties>
</file>